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As filed with the Securities and Exchange Commission on February 24, 2020</w:t>
      </w:r>
    </w:p>
    <w:p>
      <w:pPr>
        <w:spacing w:after="0" w:line="23" w:lineRule="exact"/>
        <w:rPr>
          <w:sz w:val="24"/>
          <w:szCs w:val="24"/>
          <w:color w:val="auto"/>
        </w:rPr>
      </w:pPr>
    </w:p>
    <w:p>
      <w:pPr>
        <w:ind w:left="8820"/>
        <w:spacing w:after="0"/>
        <w:rPr>
          <w:sz w:val="20"/>
          <w:szCs w:val="20"/>
          <w:color w:val="auto"/>
        </w:rPr>
      </w:pPr>
      <w:r>
        <w:rPr>
          <w:rFonts w:ascii="Arial" w:cs="Arial" w:eastAsia="Arial" w:hAnsi="Arial"/>
          <w:sz w:val="16"/>
          <w:szCs w:val="16"/>
          <w:b w:val="1"/>
          <w:bCs w:val="1"/>
          <w:color w:val="auto"/>
        </w:rPr>
        <w:t>Registration No. 333-__________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86360</wp:posOffset>
            </wp:positionV>
            <wp:extent cx="67576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26035"/>
                    </a:xfrm>
                    <a:prstGeom prst="rect">
                      <a:avLst/>
                    </a:prstGeom>
                    <a:noFill/>
                  </pic:spPr>
                </pic:pic>
              </a:graphicData>
            </a:graphic>
          </wp:anchor>
        </w:drawing>
      </w: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-224155</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-232410</wp:posOffset>
            </wp:positionV>
            <wp:extent cx="21780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ACT OF 1933</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Corcept Therapeutics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-232410</wp:posOffset>
            </wp:positionV>
            <wp:extent cx="21780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90" w:lineRule="exact"/>
        <w:rPr>
          <w:sz w:val="24"/>
          <w:szCs w:val="24"/>
          <w:color w:val="auto"/>
        </w:rPr>
      </w:pPr>
    </w:p>
    <w:tbl>
      <w:tblPr>
        <w:tblLayout w:type="fixed"/>
        <w:tblInd w:w="440" w:type="dxa"/>
        <w:tblCellMar>
          <w:top w:w="0" w:type="dxa"/>
          <w:left w:w="0" w:type="dxa"/>
          <w:bottom w:w="0" w:type="dxa"/>
          <w:right w:w="0" w:type="dxa"/>
        </w:tblCellMar>
      </w:tblPr>
      <w:tr>
        <w:trPr>
          <w:trHeight w:val="261"/>
        </w:trPr>
        <w:tc>
          <w:tcPr>
            <w:tcW w:w="3160" w:type="dxa"/>
            <w:vAlign w:val="bottom"/>
          </w:tcPr>
          <w:p>
            <w:pPr>
              <w:jc w:val="center"/>
              <w:ind w:right="50"/>
              <w:spacing w:after="0"/>
              <w:rPr>
                <w:sz w:val="20"/>
                <w:szCs w:val="20"/>
                <w:color w:val="auto"/>
              </w:rPr>
            </w:pPr>
            <w:r>
              <w:rPr>
                <w:rFonts w:ascii="Arial" w:cs="Arial" w:eastAsia="Arial" w:hAnsi="Arial"/>
                <w:sz w:val="22"/>
                <w:szCs w:val="22"/>
                <w:b w:val="1"/>
                <w:bCs w:val="1"/>
                <w:color w:val="auto"/>
                <w:w w:val="88"/>
              </w:rPr>
              <w:t>Delaware</w:t>
            </w:r>
          </w:p>
        </w:tc>
        <w:tc>
          <w:tcPr>
            <w:tcW w:w="6700" w:type="dxa"/>
            <w:vAlign w:val="bottom"/>
            <w:gridSpan w:val="3"/>
          </w:tcPr>
          <w:p>
            <w:pPr>
              <w:jc w:val="center"/>
              <w:ind w:left="5085"/>
              <w:spacing w:after="0"/>
              <w:rPr>
                <w:sz w:val="20"/>
                <w:szCs w:val="20"/>
                <w:color w:val="auto"/>
              </w:rPr>
            </w:pPr>
            <w:r>
              <w:rPr>
                <w:rFonts w:ascii="Arial" w:cs="Arial" w:eastAsia="Arial" w:hAnsi="Arial"/>
                <w:sz w:val="22"/>
                <w:szCs w:val="22"/>
                <w:b w:val="1"/>
                <w:bCs w:val="1"/>
                <w:color w:val="auto"/>
                <w:w w:val="88"/>
              </w:rPr>
              <w:t>77-0487658</w:t>
            </w:r>
          </w:p>
        </w:tc>
      </w:tr>
      <w:tr>
        <w:trPr>
          <w:trHeight w:val="203"/>
        </w:trPr>
        <w:tc>
          <w:tcPr>
            <w:tcW w:w="3160" w:type="dxa"/>
            <w:vAlign w:val="bottom"/>
          </w:tcPr>
          <w:p>
            <w:pPr>
              <w:jc w:val="center"/>
              <w:ind w:right="50"/>
              <w:spacing w:after="0"/>
              <w:rPr>
                <w:sz w:val="20"/>
                <w:szCs w:val="20"/>
                <w:color w:val="auto"/>
              </w:rPr>
            </w:pPr>
            <w:r>
              <w:rPr>
                <w:rFonts w:ascii="Arial" w:cs="Arial" w:eastAsia="Arial" w:hAnsi="Arial"/>
                <w:sz w:val="16"/>
                <w:szCs w:val="16"/>
                <w:color w:val="auto"/>
                <w:w w:val="93"/>
              </w:rPr>
              <w:t>(State or Other Jurisdiction of Incorporation or</w:t>
            </w:r>
          </w:p>
        </w:tc>
        <w:tc>
          <w:tcPr>
            <w:tcW w:w="4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860" w:type="dxa"/>
            <w:vAlign w:val="bottom"/>
          </w:tcPr>
          <w:p>
            <w:pPr>
              <w:jc w:val="center"/>
              <w:ind w:left="1259"/>
              <w:spacing w:after="0"/>
              <w:rPr>
                <w:sz w:val="20"/>
                <w:szCs w:val="20"/>
                <w:color w:val="auto"/>
              </w:rPr>
            </w:pPr>
            <w:r>
              <w:rPr>
                <w:rFonts w:ascii="Arial" w:cs="Arial" w:eastAsia="Arial" w:hAnsi="Arial"/>
                <w:sz w:val="16"/>
                <w:szCs w:val="16"/>
                <w:color w:val="auto"/>
                <w:w w:val="96"/>
              </w:rPr>
              <w:t>(IRS Employer</w:t>
            </w:r>
          </w:p>
        </w:tc>
      </w:tr>
      <w:tr>
        <w:trPr>
          <w:trHeight w:val="206"/>
        </w:trPr>
        <w:tc>
          <w:tcPr>
            <w:tcW w:w="3160" w:type="dxa"/>
            <w:vAlign w:val="bottom"/>
          </w:tcPr>
          <w:p>
            <w:pPr>
              <w:jc w:val="center"/>
              <w:ind w:right="50"/>
              <w:spacing w:after="0"/>
              <w:rPr>
                <w:sz w:val="20"/>
                <w:szCs w:val="20"/>
                <w:color w:val="auto"/>
              </w:rPr>
            </w:pPr>
            <w:r>
              <w:rPr>
                <w:rFonts w:ascii="Arial" w:cs="Arial" w:eastAsia="Arial" w:hAnsi="Arial"/>
                <w:sz w:val="16"/>
                <w:szCs w:val="16"/>
                <w:color w:val="auto"/>
                <w:w w:val="93"/>
              </w:rPr>
              <w:t>Organization)</w:t>
            </w:r>
          </w:p>
        </w:tc>
        <w:tc>
          <w:tcPr>
            <w:tcW w:w="4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860" w:type="dxa"/>
            <w:vAlign w:val="bottom"/>
          </w:tcPr>
          <w:p>
            <w:pPr>
              <w:jc w:val="center"/>
              <w:ind w:left="1279"/>
              <w:spacing w:after="0"/>
              <w:rPr>
                <w:sz w:val="20"/>
                <w:szCs w:val="20"/>
                <w:color w:val="auto"/>
              </w:rPr>
            </w:pPr>
            <w:r>
              <w:rPr>
                <w:rFonts w:ascii="Arial" w:cs="Arial" w:eastAsia="Arial" w:hAnsi="Arial"/>
                <w:sz w:val="16"/>
                <w:szCs w:val="16"/>
                <w:color w:val="auto"/>
                <w:w w:val="95"/>
              </w:rPr>
              <w:t>Identification Number)</w:t>
            </w:r>
          </w:p>
        </w:tc>
      </w:tr>
      <w:tr>
        <w:trPr>
          <w:trHeight w:val="297"/>
        </w:trPr>
        <w:tc>
          <w:tcPr>
            <w:tcW w:w="3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00" w:type="dxa"/>
            <w:vAlign w:val="bottom"/>
            <w:gridSpan w:val="2"/>
          </w:tcPr>
          <w:p>
            <w:pPr>
              <w:spacing w:after="0"/>
              <w:rPr>
                <w:sz w:val="24"/>
                <w:szCs w:val="24"/>
                <w:color w:val="auto"/>
              </w:rPr>
            </w:pPr>
          </w:p>
        </w:tc>
      </w:tr>
      <w:tr>
        <w:trPr>
          <w:trHeight w:val="249"/>
        </w:trPr>
        <w:tc>
          <w:tcPr>
            <w:tcW w:w="3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tcBorders>
              <w:top w:val="single" w:sz="8" w:color="auto"/>
            </w:tcBorders>
          </w:tcPr>
          <w:p>
            <w:pPr>
              <w:jc w:val="center"/>
              <w:spacing w:after="0" w:line="248" w:lineRule="exact"/>
              <w:rPr>
                <w:sz w:val="20"/>
                <w:szCs w:val="20"/>
                <w:color w:val="auto"/>
              </w:rPr>
            </w:pPr>
            <w:r>
              <w:rPr>
                <w:rFonts w:ascii="Arial" w:cs="Arial" w:eastAsia="Arial" w:hAnsi="Arial"/>
                <w:sz w:val="22"/>
                <w:szCs w:val="22"/>
                <w:b w:val="1"/>
                <w:bCs w:val="1"/>
                <w:color w:val="auto"/>
                <w:w w:val="89"/>
              </w:rPr>
              <w:t>Corcept Therapeutics Incorporated</w:t>
            </w:r>
          </w:p>
        </w:tc>
        <w:tc>
          <w:tcPr>
            <w:tcW w:w="2860" w:type="dxa"/>
            <w:vAlign w:val="bottom"/>
          </w:tcPr>
          <w:p>
            <w:pPr>
              <w:spacing w:after="0"/>
              <w:rPr>
                <w:sz w:val="21"/>
                <w:szCs w:val="21"/>
                <w:color w:val="auto"/>
              </w:rPr>
            </w:pPr>
          </w:p>
        </w:tc>
      </w:tr>
      <w:tr>
        <w:trPr>
          <w:trHeight w:val="257"/>
        </w:trPr>
        <w:tc>
          <w:tcPr>
            <w:tcW w:w="3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300" w:type="dxa"/>
            <w:vAlign w:val="bottom"/>
            <w:gridSpan w:val="2"/>
          </w:tcPr>
          <w:p>
            <w:pPr>
              <w:jc w:val="center"/>
              <w:ind w:right="2479"/>
              <w:spacing w:after="0"/>
              <w:rPr>
                <w:sz w:val="20"/>
                <w:szCs w:val="20"/>
                <w:color w:val="auto"/>
              </w:rPr>
            </w:pPr>
            <w:r>
              <w:rPr>
                <w:rFonts w:ascii="Arial" w:cs="Arial" w:eastAsia="Arial" w:hAnsi="Arial"/>
                <w:sz w:val="22"/>
                <w:szCs w:val="22"/>
                <w:color w:val="auto"/>
                <w:w w:val="90"/>
              </w:rPr>
              <w:t>149 Commonwealth Drive</w:t>
            </w:r>
          </w:p>
        </w:tc>
      </w:tr>
      <w:tr>
        <w:trPr>
          <w:trHeight w:val="255"/>
        </w:trPr>
        <w:tc>
          <w:tcPr>
            <w:tcW w:w="3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300" w:type="dxa"/>
            <w:vAlign w:val="bottom"/>
            <w:gridSpan w:val="2"/>
          </w:tcPr>
          <w:p>
            <w:pPr>
              <w:jc w:val="center"/>
              <w:ind w:right="2459"/>
              <w:spacing w:after="0"/>
              <w:rPr>
                <w:sz w:val="20"/>
                <w:szCs w:val="20"/>
                <w:color w:val="auto"/>
              </w:rPr>
            </w:pPr>
            <w:r>
              <w:rPr>
                <w:rFonts w:ascii="Arial" w:cs="Arial" w:eastAsia="Arial" w:hAnsi="Arial"/>
                <w:sz w:val="22"/>
                <w:szCs w:val="22"/>
                <w:color w:val="auto"/>
                <w:w w:val="91"/>
              </w:rPr>
              <w:t>Menlo Park, California 94025</w:t>
            </w:r>
          </w:p>
        </w:tc>
      </w:tr>
      <w:tr>
        <w:trPr>
          <w:trHeight w:val="206"/>
        </w:trPr>
        <w:tc>
          <w:tcPr>
            <w:tcW w:w="3160" w:type="dxa"/>
            <w:vAlign w:val="bottom"/>
          </w:tcPr>
          <w:p>
            <w:pPr>
              <w:spacing w:after="0"/>
              <w:rPr>
                <w:sz w:val="17"/>
                <w:szCs w:val="17"/>
                <w:color w:val="auto"/>
              </w:rPr>
            </w:pPr>
          </w:p>
        </w:tc>
        <w:tc>
          <w:tcPr>
            <w:tcW w:w="6700" w:type="dxa"/>
            <w:vAlign w:val="bottom"/>
            <w:gridSpan w:val="3"/>
          </w:tcPr>
          <w:p>
            <w:pPr>
              <w:jc w:val="center"/>
              <w:ind w:right="2399"/>
              <w:spacing w:after="0"/>
              <w:rPr>
                <w:sz w:val="20"/>
                <w:szCs w:val="20"/>
                <w:color w:val="auto"/>
              </w:rPr>
            </w:pPr>
            <w:r>
              <w:rPr>
                <w:rFonts w:ascii="Arial" w:cs="Arial" w:eastAsia="Arial" w:hAnsi="Arial"/>
                <w:sz w:val="16"/>
                <w:szCs w:val="16"/>
                <w:color w:val="auto"/>
                <w:w w:val="94"/>
              </w:rPr>
              <w:t>(Address of Principal Executive Offices including 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158115</wp:posOffset>
            </wp:positionV>
            <wp:extent cx="21780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2012 Incentive Award Plan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(Full Title of the Plan)</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Copy to:</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Alan C. Mendelson, Esq.</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Kathleen M. Wells, Esq.</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Brian D. Paulson, Esq.</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Latham &amp; Watkins LLP</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140 Scott Drive</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Menlo Park, California 94025</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(650) 463-4693</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172720</wp:posOffset>
            </wp:positionV>
            <wp:extent cx="21780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5"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5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86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56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86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5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520" w:type="dxa"/>
            <w:vAlign w:val="bottom"/>
          </w:tcPr>
          <w:p>
            <w:pPr>
              <w:ind w:left="186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81"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 w:lineRule="exact"/>
        <w:rPr>
          <w:sz w:val="24"/>
          <w:szCs w:val="24"/>
          <w:color w:val="auto"/>
        </w:rPr>
      </w:pPr>
    </w:p>
    <w:p>
      <w:pPr>
        <w:jc w:val="right"/>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185420</wp:posOffset>
            </wp:positionV>
            <wp:extent cx="21780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ectPr>
          <w:pgSz w:w="11900" w:h="16838" w:orient="portrait"/>
          <w:cols w:equalWidth="0" w:num="1">
            <w:col w:w="11420"/>
          </w:cols>
          <w:pgMar w:left="240" w:top="8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551815</wp:posOffset>
            </wp:positionV>
            <wp:extent cx="7254875" cy="1166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1166495"/>
                    </a:xfrm>
                    <a:prstGeom prst="rect">
                      <a:avLst/>
                    </a:prstGeom>
                    <a:noFill/>
                  </pic:spPr>
                </pic:pic>
              </a:graphicData>
            </a:graphic>
          </wp:anchor>
        </w:drawing>
        <w:t>CALCULATION OF REGISTRATION FEE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tcBorders>
              <w:top w:val="single" w:sz="8" w:color="auto"/>
              <w:right w:val="single" w:sz="8" w:color="auto"/>
            </w:tcBorders>
          </w:tcPr>
          <w:p>
            <w:pPr>
              <w:spacing w:after="0"/>
              <w:rPr>
                <w:sz w:val="19"/>
                <w:szCs w:val="19"/>
                <w:color w:val="auto"/>
              </w:rPr>
            </w:pPr>
          </w:p>
        </w:tc>
        <w:tc>
          <w:tcPr>
            <w:tcW w:w="1840" w:type="dxa"/>
            <w:vAlign w:val="bottom"/>
            <w:tcBorders>
              <w:top w:val="single" w:sz="8" w:color="auto"/>
              <w:right w:val="single" w:sz="8" w:color="auto"/>
            </w:tcBorders>
          </w:tcPr>
          <w:p>
            <w:pPr>
              <w:spacing w:after="0"/>
              <w:rPr>
                <w:sz w:val="19"/>
                <w:szCs w:val="19"/>
                <w:color w:val="auto"/>
              </w:rPr>
            </w:pP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Proposed</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Proposed</w:t>
            </w:r>
          </w:p>
        </w:tc>
        <w:tc>
          <w:tcPr>
            <w:tcW w:w="1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4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Title of Securities to be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to be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Price Per</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 xml:space="preserve">Registered </w:t>
            </w:r>
            <w:r>
              <w:rPr>
                <w:rFonts w:ascii="Arial" w:cs="Arial" w:eastAsia="Arial" w:hAnsi="Arial"/>
                <w:sz w:val="21"/>
                <w:szCs w:val="21"/>
                <w:b w:val="1"/>
                <w:bCs w:val="1"/>
                <w:color w:val="auto"/>
                <w:w w:val="86"/>
                <w:vertAlign w:val="superscript"/>
              </w:rPr>
              <w:t>(1)</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Share </w:t>
            </w:r>
            <w:r>
              <w:rPr>
                <w:rFonts w:ascii="Arial" w:cs="Arial" w:eastAsia="Arial" w:hAnsi="Arial"/>
                <w:sz w:val="21"/>
                <w:szCs w:val="21"/>
                <w:b w:val="1"/>
                <w:bCs w:val="1"/>
                <w:color w:val="auto"/>
                <w:w w:val="87"/>
                <w:vertAlign w:val="superscript"/>
              </w:rPr>
              <w:t>(2)</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Price </w:t>
            </w:r>
            <w:r>
              <w:rPr>
                <w:rFonts w:ascii="Arial" w:cs="Arial" w:eastAsia="Arial" w:hAnsi="Arial"/>
                <w:sz w:val="21"/>
                <w:szCs w:val="21"/>
                <w:b w:val="1"/>
                <w:bCs w:val="1"/>
                <w:color w:val="auto"/>
                <w:w w:val="88"/>
                <w:vertAlign w:val="superscript"/>
              </w:rPr>
              <w:t>(2)</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213"/>
        </w:trPr>
        <w:tc>
          <w:tcPr>
            <w:tcW w:w="414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2012 Incentive Award Plan</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4,581,942</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$13.42</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$61,489,661.64</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89"/>
              </w:rPr>
              <w:t>$7,981.36</w:t>
            </w:r>
          </w:p>
        </w:tc>
        <w:tc>
          <w:tcPr>
            <w:tcW w:w="0" w:type="dxa"/>
            <w:vAlign w:val="bottom"/>
          </w:tcPr>
          <w:p>
            <w:pPr>
              <w:spacing w:after="0"/>
              <w:rPr>
                <w:sz w:val="1"/>
                <w:szCs w:val="1"/>
                <w:color w:val="auto"/>
              </w:rPr>
            </w:pPr>
          </w:p>
        </w:tc>
      </w:tr>
      <w:tr>
        <w:trPr>
          <w:trHeight w:val="212"/>
        </w:trPr>
        <w:tc>
          <w:tcPr>
            <w:tcW w:w="41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Common Stock, par value $0.001 per share</w:t>
            </w:r>
          </w:p>
        </w:tc>
        <w:tc>
          <w:tcPr>
            <w:tcW w:w="1840" w:type="dxa"/>
            <w:vAlign w:val="bottom"/>
            <w:tcBorders>
              <w:right w:val="single" w:sz="8" w:color="auto"/>
            </w:tcBorders>
            <w:vMerge w:val="continue"/>
          </w:tcPr>
          <w:p>
            <w:pPr>
              <w:spacing w:after="0"/>
              <w:rPr>
                <w:sz w:val="18"/>
                <w:szCs w:val="18"/>
                <w:color w:val="auto"/>
              </w:rPr>
            </w:pPr>
          </w:p>
        </w:tc>
        <w:tc>
          <w:tcPr>
            <w:tcW w:w="1820" w:type="dxa"/>
            <w:vAlign w:val="bottom"/>
            <w:tcBorders>
              <w:right w:val="single" w:sz="8" w:color="auto"/>
            </w:tcBorders>
            <w:vMerge w:val="continue"/>
          </w:tcPr>
          <w:p>
            <w:pPr>
              <w:spacing w:after="0"/>
              <w:rPr>
                <w:sz w:val="18"/>
                <w:szCs w:val="18"/>
                <w:color w:val="auto"/>
              </w:rPr>
            </w:pPr>
          </w:p>
        </w:tc>
        <w:tc>
          <w:tcPr>
            <w:tcW w:w="1820" w:type="dxa"/>
            <w:vAlign w:val="bottom"/>
            <w:tcBorders>
              <w:right w:val="single" w:sz="8" w:color="auto"/>
            </w:tcBorders>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ind w:right="180" w:firstLine="8"/>
        <w:spacing w:after="0" w:line="249" w:lineRule="auto"/>
        <w:tabs>
          <w:tab w:leader="none" w:pos="351"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or the Securities Act, this registration statement shall also automatically cover any additional shares of our common stock which become issuable under our 2012 Incentive Award Plan, which we refer to as our 2012 Plan, by reason of any stock dividend, stock split, recapitalization or other similar transaction which results in an increase in the number of outstanding shares of our common stock.</w:t>
      </w:r>
    </w:p>
    <w:p>
      <w:pPr>
        <w:spacing w:after="0" w:line="2" w:lineRule="exact"/>
        <w:rPr>
          <w:rFonts w:ascii="Arial" w:cs="Arial" w:eastAsia="Arial" w:hAnsi="Arial"/>
          <w:sz w:val="16"/>
          <w:szCs w:val="16"/>
          <w:color w:val="auto"/>
        </w:rPr>
      </w:pPr>
    </w:p>
    <w:p>
      <w:pPr>
        <w:ind w:right="300" w:firstLine="8"/>
        <w:spacing w:after="0" w:line="342" w:lineRule="auto"/>
        <w:tabs>
          <w:tab w:leader="none" w:pos="409" w:val="left"/>
        </w:tabs>
        <w:numPr>
          <w:ilvl w:val="0"/>
          <w:numId w:val="1"/>
        </w:numPr>
        <w:rPr>
          <w:rFonts w:ascii="Arial" w:cs="Arial" w:eastAsia="Arial" w:hAnsi="Arial"/>
          <w:sz w:val="15"/>
          <w:szCs w:val="15"/>
          <w:color w:val="auto"/>
        </w:rPr>
      </w:pPr>
      <w:r>
        <w:rPr>
          <w:rFonts w:ascii="Arial" w:cs="Arial" w:eastAsia="Arial" w:hAnsi="Arial"/>
          <w:sz w:val="15"/>
          <w:szCs w:val="15"/>
          <w:color w:val="auto"/>
        </w:rPr>
        <w:t>This estimate is made pursuant to Rule 457(c) solely for purposes of calculating the registration fee pursuant to Rule 457(h), and is based on a price of $13.42, which represents the average of the high and low prices per share of our common stock as reported on the Nasdaq Capital Market on 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128905</wp:posOffset>
            </wp:positionV>
            <wp:extent cx="67576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767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43180</wp:posOffset>
            </wp:positionV>
            <wp:extent cx="67576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ectPr>
          <w:pgSz w:w="11900" w:h="16838" w:orient="portrait"/>
          <w:cols w:equalWidth="0" w:num="1">
            <w:col w:w="11440"/>
          </w:cols>
          <w:pgMar w:left="240" w:top="895" w:right="219" w:bottom="1440" w:gutter="0" w:footer="0" w:header="0"/>
        </w:sectPr>
      </w:pPr>
    </w:p>
    <w:bookmarkStart w:id="2" w:name="page3"/>
    <w:bookmarkEnd w:id="2"/>
    <w:p>
      <w:pPr>
        <w:jc w:val="center"/>
        <w:ind w:left="500"/>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17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filed with the United States Securities and Exchange Commission, or the SEC, on August 13, 2012, a registration statement on Form S-8 (File No. 333-183284) relating to shares of our common stock, par value $0.001 per share, or common stock, to be offered and sold under our 2012 Plan. Pursuant to a registration statement on Form S-8 (File No. 333-187316) filed with the SEC on March 15, 2013, we registered an additional 3,992,570 shares of common stock to be offered and sold under our 2012 Plan. Pursuant to a registration statement on Form S-8 (File No. 333-194663) filed with the SEC on March 18, 2014, we registered an additional 3,993,300 shares of common stock to be offered and sold under our 2012 Plan. Pursuant to a registration statement on Form S-8 (File No. 333-202753) filed with the SEC on March 13, 2015, we registered an additional 4,055,814 shares of common stock to be offered and sold under our 2012 Plan. Pursuant to a registration statement on Form S-8 (File No. 333-210076) filed with the SEC on March 10, 2016, we registered an additional 4,385,685 shares of common stock to be offered and sold under our 2012 Plan. Pursuant to a registration statement on Form S-8 (File No. 333-216658) filed with the SEC on March 13, 2017, we registered an additional 4,508,404 shares of common stock to be offered and sold under our 2012 Plan. Pursuant to a registration statement on Form S-8 (File No. 333-223318) filed with the SEC on February 28, 2018, we registered an additional 4,588,682 shares of common stock to be offered and sold under our 2012 Plan. Pursuant to a registration statement on Form S-8 (File No. 333-229857) filed with the SEC on February 26, 2019, we registered an additional 4,601,212 shares of common stock to be offered and sold under our 2012 Plan. The contents of such registration statements are incorporated by reference in this registration statement. We are hereby registering an additional 4,581,942 shares of our common stock issuable or that may become issuable under our 2012 Plan.</w:t>
      </w:r>
    </w:p>
    <w:p>
      <w:pPr>
        <w:spacing w:after="0" w:line="11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7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information called for in Part I of Form S-8 is not being filed with or included in this Form S-8 (by incorporation by reference or otherwise) in accordance with the rules and regulations of the SEC.</w:t>
      </w:r>
    </w:p>
    <w:p>
      <w:pPr>
        <w:spacing w:after="0" w:line="1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Incorporation of Documents by Reference</w:t>
      </w:r>
      <w:r>
        <w:rPr>
          <w:rFonts w:ascii="Arial" w:cs="Arial" w:eastAsia="Arial" w:hAnsi="Arial"/>
          <w:sz w:val="16"/>
          <w:szCs w:val="16"/>
          <w:b w:val="1"/>
          <w:bCs w:val="1"/>
          <w:color w:val="auto"/>
        </w:rPr>
        <w:t>.</w:t>
      </w:r>
    </w:p>
    <w:p>
      <w:pPr>
        <w:spacing w:after="0" w:line="17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it, which means that we can disclose important information to you by referring to those documents. The information incorporated by reference is an important part of this registration statement, and information that we file later with the SEC will automatically update and supersede this information. We incorporate by reference the following documents we have filed, or may file, with the SEC:</w:t>
      </w:r>
    </w:p>
    <w:p>
      <w:pPr>
        <w:spacing w:after="0" w:line="13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2019 filed with the SEC on February 24, 2020;</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which is contained in Exhibit 4.2 to our Annual Report on Form 10-K filed on February 20, 2020, including any amendment or report filed for the purpose of updating such description; and</w:t>
      </w:r>
    </w:p>
    <w:p>
      <w:pPr>
        <w:spacing w:after="0" w:line="116" w:lineRule="exact"/>
        <w:rPr>
          <w:rFonts w:ascii="Arial" w:cs="Arial" w:eastAsia="Arial" w:hAnsi="Arial"/>
          <w:sz w:val="18"/>
          <w:szCs w:val="18"/>
          <w:color w:val="auto"/>
        </w:rPr>
      </w:pPr>
    </w:p>
    <w:p>
      <w:pPr>
        <w:ind w:left="660" w:right="32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documents we file with the SEC pursuant to Sections 13(a), 13(c), 14 or 15(d) of the Exchange Act prior to the filing of a post-effective amendment that indicates that all securities offered hereby have been sold or that deregisters all securities covered hereby then remaining unsold.</w:t>
      </w:r>
    </w:p>
    <w:p>
      <w:pPr>
        <w:spacing w:after="0" w:line="70"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Any information that we later file with the SEC will automatically update and supersede the information and statements contained in a document incorporated or deemed to be incorporated by reference herein. Any such information or statement so modified or superseded will not be deemed, except as so modified or superseded, to constitute part of this registration statement. Under no circumstances will any information filed under Items 2.02 or 7.01 of Form 8-K be deemed incorporated herein by reference unless such Form 8-K expressly provides to the contrary.</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Interests of Named Experts and Counsel</w:t>
      </w:r>
      <w:r>
        <w:rPr>
          <w:rFonts w:ascii="Arial" w:cs="Arial" w:eastAsia="Arial" w:hAnsi="Arial"/>
          <w:sz w:val="16"/>
          <w:szCs w:val="16"/>
          <w:b w:val="1"/>
          <w:bCs w:val="1"/>
          <w:color w:val="auto"/>
        </w:rPr>
        <w:t>.</w:t>
      </w:r>
    </w:p>
    <w:p>
      <w:pPr>
        <w:spacing w:after="0" w:line="175"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The validity of the common stock being offered by this prospectus will be passed upon for us by Latham &amp; Watkins LLP, Menlo Park, California. As of the date of this registration statement, Latham &amp; Watkins LLP and certain attorneys in the firm who have rendered, and will continue to render, legal services to the Company, own shares of our common stock and warrants exercisable for shares of our common stock representing in the aggregate less than one percent of the shares of our common stock outstanding immediately prior to the filing of this registration statement.</w:t>
      </w:r>
    </w:p>
    <w:p>
      <w:pPr>
        <w:sectPr>
          <w:pgSz w:w="11900" w:h="16838" w:orient="portrait"/>
          <w:cols w:equalWidth="0" w:num="1">
            <w:col w:w="11420"/>
          </w:cols>
          <w:pgMar w:left="240" w:top="715" w:right="23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Indemnification of Directors and Officers</w:t>
      </w:r>
      <w:r>
        <w:rPr>
          <w:rFonts w:ascii="Arial" w:cs="Arial" w:eastAsia="Arial" w:hAnsi="Arial"/>
          <w:sz w:val="16"/>
          <w:szCs w:val="16"/>
          <w:b w:val="1"/>
          <w:bCs w:val="1"/>
          <w:color w:val="auto"/>
        </w:rPr>
        <w:t>.</w:t>
      </w:r>
    </w:p>
    <w:p>
      <w:pPr>
        <w:spacing w:after="0" w:line="175"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Section 145 of the Delaware General Corporation Law permits indemnification of officers, directors and other corporate agents under certain circumstances and subject to certain limitations. Our Amended and Restated Certificate of Incorporation, as amended, and Amended and Restated Bylaws provide that we will indemnify our directors, officers, employees and agents to the full extent permitted by Delaware General Corporation Law, including in circumstances in which indemnification is otherwise discretionary under Delaware law. In addition, we have entered into separate indemnification agreements with our directors and executive officers which would require us, among other things, to indemnify them against certain liabilities which may arise by reason of their status or service (other than liabilities arising from willful misconduct of a culpable nature). The indemnification provisions in our Amended and Restated Certificate of Incorporation, as amended, and Amended and Restated Bylaws and the indemnification agreements entered into between us and our directors and executive officers may be sufficiently broad to permit indemnification of our directors and executive officers for liabilities (including reimbursement of expenses incurred) arising under the Securities Act. We also intend to maintain director and officer liability insurance, if available on reasonable terms, to insure our directors and officers against the cost of defense, settlement or payment of a judgment under certain circumstances.</w:t>
      </w:r>
    </w:p>
    <w:p>
      <w:pPr>
        <w:spacing w:after="0" w:line="115"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0" w:type="dxa"/>
            <w:vAlign w:val="bottom"/>
            <w:gridSpan w:val="12"/>
          </w:tcPr>
          <w:p>
            <w:pPr>
              <w:ind w:left="1300"/>
              <w:spacing w:after="0"/>
              <w:rPr>
                <w:sz w:val="20"/>
                <w:szCs w:val="20"/>
                <w:color w:val="auto"/>
              </w:rPr>
            </w:pPr>
            <w:r>
              <w:rPr>
                <w:rFonts w:ascii="Arial" w:cs="Arial" w:eastAsia="Arial" w:hAnsi="Arial"/>
                <w:sz w:val="18"/>
                <w:szCs w:val="18"/>
                <w:b w:val="1"/>
                <w:bCs w:val="1"/>
                <w:color w:val="auto"/>
              </w:rPr>
              <w:t>Description of Document</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Amended and Restated Certificate of Incorporation, as amended (incorporated by reference to Exhibit 3.1 to the registrant’s Quarterly Report</w:t>
              </w:r>
            </w:hyperlink>
          </w:p>
        </w:tc>
        <w:tc>
          <w:tcPr>
            <w:tcW w:w="60" w:type="dxa"/>
            <w:vAlign w:val="bottom"/>
          </w:tcPr>
          <w:p>
            <w:pPr>
              <w:spacing w:after="0"/>
              <w:rPr>
                <w:sz w:val="17"/>
                <w:szCs w:val="17"/>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5"/>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on Form 10-Q filed on August 9, 2012)</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15"/>
          </w:tcPr>
          <w:p>
            <w:pPr>
              <w:spacing w:after="0"/>
              <w:rPr>
                <w:rFonts w:ascii="Arial" w:cs="Arial" w:eastAsia="Arial" w:hAnsi="Arial"/>
                <w:sz w:val="18"/>
                <w:szCs w:val="18"/>
                <w:color w:val="0000FF"/>
                <w:w w:val="93"/>
              </w:rPr>
            </w:pPr>
            <w:hyperlink r:id="rId19">
              <w:r>
                <w:rPr>
                  <w:rFonts w:ascii="Arial" w:cs="Arial" w:eastAsia="Arial" w:hAnsi="Arial"/>
                  <w:sz w:val="18"/>
                  <w:szCs w:val="18"/>
                  <w:color w:val="0000FF"/>
                  <w:w w:val="93"/>
                </w:rPr>
                <w:t>Amended and Restated Bylaws (incorporated by reference to Exhibit 3.1 to the registrant’s Current Report on Form 8-K filed on February</w:t>
              </w:r>
            </w:hyperlink>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13, 2017)</w:t>
              </w:r>
            </w:hyperlink>
          </w:p>
        </w:tc>
        <w:tc>
          <w:tcPr>
            <w:tcW w:w="18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7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tcBorders>
              <w:bottom w:val="single" w:sz="8" w:color="0000FF"/>
            </w:tcBorders>
            <w:gridSpan w:val="10"/>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Specimen Common Stock Certificate (incorporated by reference to Exhibit 4.1 to the registrant’s Registration Statement on Form S-1</w:t>
              </w:r>
            </w:hyperlink>
          </w:p>
        </w:tc>
        <w:tc>
          <w:tcPr>
            <w:tcW w:w="620" w:type="dxa"/>
            <w:vAlign w:val="bottom"/>
            <w:gridSpan w:val="5"/>
          </w:tcPr>
          <w:p>
            <w:pPr>
              <w:spacing w:after="0"/>
              <w:rPr>
                <w:sz w:val="21"/>
                <w:szCs w:val="21"/>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(Registration No. 333-112676) filed on February 10, 2004)</w:t>
              </w:r>
            </w:hyperlink>
          </w:p>
        </w:tc>
        <w:tc>
          <w:tcPr>
            <w:tcW w:w="5980" w:type="dxa"/>
            <w:vAlign w:val="bottom"/>
            <w:gridSpan w:val="11"/>
          </w:tcPr>
          <w:p>
            <w:pPr>
              <w:spacing w:after="0"/>
              <w:rPr>
                <w:sz w:val="17"/>
                <w:szCs w:val="17"/>
                <w:color w:val="auto"/>
              </w:rPr>
            </w:pP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15"/>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Corcept Therapeutics Incorporated 2012 Incentive Award Plan (incorporated by reference to Appendix A to the registrant’s Definitive Proxy</w:t>
              </w:r>
            </w:hyperlink>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Statement on Schedule 14A filed with the SEC on May 21, 2012)</w:t>
              </w:r>
            </w:hyperlink>
          </w:p>
        </w:tc>
        <w:tc>
          <w:tcPr>
            <w:tcW w:w="12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tcBorders>
              <w:bottom w:val="single" w:sz="8" w:color="0000FF"/>
            </w:tcBorders>
            <w:gridSpan w:val="12"/>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Form of 2012 Incentive Award Plan Stock Option Grant Notice and Agreement (incorporated by reference to Exhibit 4.5 to the registrant’s</w:t>
              </w:r>
            </w:hyperlink>
          </w:p>
        </w:tc>
        <w:tc>
          <w:tcPr>
            <w:tcW w:w="240" w:type="dxa"/>
            <w:vAlign w:val="bottom"/>
            <w:gridSpan w:val="3"/>
          </w:tcPr>
          <w:p>
            <w:pPr>
              <w:spacing w:after="0"/>
              <w:rPr>
                <w:sz w:val="21"/>
                <w:szCs w:val="21"/>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5"/>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Registration Statement on Form S-8 (Registration No. 333-229857) filed on February 26, 2019)</w:t>
              </w:r>
            </w:hyperlink>
          </w:p>
        </w:tc>
      </w:tr>
      <w:tr>
        <w:trPr>
          <w:trHeight w:val="250"/>
        </w:trPr>
        <w:tc>
          <w:tcPr>
            <w:tcW w:w="104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900" w:type="dxa"/>
            <w:vAlign w:val="bottom"/>
            <w:tcBorders>
              <w:top w:val="single" w:sz="8" w:color="0000FF"/>
            </w:tcBorders>
            <w:gridSpan w:val="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Opinion of Latham &amp; Watkins LLP</w:t>
              </w:r>
            </w:hyperlink>
          </w:p>
        </w:tc>
        <w:tc>
          <w:tcPr>
            <w:tcW w:w="3340" w:type="dxa"/>
            <w:vAlign w:val="bottom"/>
            <w:gridSpan w:val="6"/>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r>
      <w:tr>
        <w:trPr>
          <w:trHeight w:val="25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8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Consent of Latham &amp; Watkins LLP (included in Exhibit 5.1)</w:t>
              </w:r>
            </w:hyperlink>
          </w:p>
        </w:tc>
        <w:tc>
          <w:tcPr>
            <w:tcW w:w="5860" w:type="dxa"/>
            <w:vAlign w:val="bottom"/>
            <w:gridSpan w:val="9"/>
          </w:tcPr>
          <w:p>
            <w:pPr>
              <w:spacing w:after="0"/>
              <w:rPr>
                <w:sz w:val="21"/>
                <w:szCs w:val="21"/>
                <w:color w:val="auto"/>
              </w:rPr>
            </w:pPr>
          </w:p>
        </w:tc>
      </w:tr>
      <w:tr>
        <w:trPr>
          <w:trHeight w:val="25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Consent of Independent Registered Public Accounting Firm</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gridSpan w:val="5"/>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r>
      <w:tr>
        <w:trPr>
          <w:trHeight w:val="25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Power of Attorney (included on the signature page to this registration statement)</w:t>
              </w:r>
            </w:hyperlink>
          </w:p>
        </w:tc>
        <w:tc>
          <w:tcPr>
            <w:tcW w:w="4440" w:type="dxa"/>
            <w:vAlign w:val="bottom"/>
            <w:gridSpan w:val="7"/>
          </w:tcPr>
          <w:p>
            <w:pPr>
              <w:spacing w:after="0"/>
              <w:rPr>
                <w:sz w:val="21"/>
                <w:szCs w:val="21"/>
                <w:color w:val="auto"/>
              </w:rPr>
            </w:pPr>
          </w:p>
        </w:tc>
      </w:tr>
    </w:tbl>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Undertakings</w:t>
      </w:r>
      <w:r>
        <w:rPr>
          <w:rFonts w:ascii="Arial" w:cs="Arial" w:eastAsia="Arial" w:hAnsi="Arial"/>
          <w:sz w:val="16"/>
          <w:szCs w:val="16"/>
          <w:b w:val="1"/>
          <w:bCs w:val="1"/>
          <w:color w:val="auto"/>
        </w:rPr>
        <w:t>.</w:t>
      </w:r>
    </w:p>
    <w:p>
      <w:pPr>
        <w:spacing w:after="0" w:line="175" w:lineRule="exact"/>
        <w:rPr>
          <w:sz w:val="20"/>
          <w:szCs w:val="20"/>
          <w:color w:val="auto"/>
        </w:rPr>
      </w:pPr>
    </w:p>
    <w:p>
      <w:pPr>
        <w:ind w:left="740" w:hanging="24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660" w:right="1580" w:hanging="4"/>
        <w:spacing w:after="0" w:line="438" w:lineRule="auto"/>
        <w:tabs>
          <w:tab w:leader="none" w:pos="915"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i. To include any prospectus required by section 10(a)(3) of the Securities Act;</w:t>
      </w:r>
    </w:p>
    <w:p>
      <w:pPr>
        <w:ind w:left="1460" w:hanging="155"/>
        <w:spacing w:after="0" w:line="272" w:lineRule="auto"/>
        <w:tabs>
          <w:tab w:leader="none" w:pos="1488"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 230.424(b) of the chapter) if, in the aggregate, the changes in volume and price represent no more than a 20% change in the maximum aggregate offering price set forth in the “Calculation of Registration Fee” table in the effective registration statement.</w:t>
      </w:r>
    </w:p>
    <w:p>
      <w:pPr>
        <w:sectPr>
          <w:pgSz w:w="11900" w:h="16838" w:orient="portrait"/>
          <w:cols w:equalWidth="0" w:num="1">
            <w:col w:w="11420"/>
          </w:cols>
          <w:pgMar w:left="240" w:top="715" w:right="239" w:bottom="1440" w:gutter="0" w:footer="0" w:header="0"/>
        </w:sectPr>
      </w:pPr>
    </w:p>
    <w:bookmarkStart w:id="4" w:name="page5"/>
    <w:bookmarkEnd w:id="4"/>
    <w:p>
      <w:pPr>
        <w:ind w:left="1046" w:right="60" w:hanging="235"/>
        <w:spacing w:after="0" w:line="276" w:lineRule="auto"/>
        <w:tabs>
          <w:tab w:leader="none" w:pos="1043" w:val="left"/>
        </w:tabs>
        <w:numPr>
          <w:ilvl w:val="2"/>
          <w:numId w:val="4"/>
        </w:numPr>
        <w:rPr>
          <w:rFonts w:ascii="Arial" w:cs="Arial" w:eastAsia="Arial" w:hAnsi="Arial"/>
          <w:sz w:val="17"/>
          <w:szCs w:val="17"/>
          <w:color w:val="auto"/>
        </w:rPr>
      </w:pPr>
      <w:r>
        <w:rPr>
          <w:rFonts w:ascii="Arial" w:cs="Arial" w:eastAsia="Arial" w:hAnsi="Arial"/>
          <w:sz w:val="17"/>
          <w:szCs w:val="17"/>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do not apply if the registration statement is on Form S-8 and the 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w:t>
      </w:r>
    </w:p>
    <w:p>
      <w:pPr>
        <w:spacing w:after="0" w:line="118" w:lineRule="exact"/>
        <w:rPr>
          <w:rFonts w:ascii="Arial" w:cs="Arial" w:eastAsia="Arial" w:hAnsi="Arial"/>
          <w:sz w:val="17"/>
          <w:szCs w:val="17"/>
          <w:color w:val="auto"/>
        </w:rPr>
      </w:pPr>
    </w:p>
    <w:p>
      <w:pPr>
        <w:ind w:left="406" w:right="20" w:hanging="244"/>
        <w:spacing w:after="0" w:line="264" w:lineRule="auto"/>
        <w:tabs>
          <w:tab w:leader="none" w:pos="41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27" w:lineRule="exact"/>
        <w:rPr>
          <w:rFonts w:ascii="Arial" w:cs="Arial" w:eastAsia="Arial" w:hAnsi="Arial"/>
          <w:sz w:val="18"/>
          <w:szCs w:val="18"/>
          <w:color w:val="auto"/>
        </w:rPr>
      </w:pPr>
    </w:p>
    <w:p>
      <w:pPr>
        <w:ind w:left="406" w:right="820" w:hanging="244"/>
        <w:spacing w:after="0" w:line="277" w:lineRule="auto"/>
        <w:tabs>
          <w:tab w:leader="none" w:pos="41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246" w:hanging="246"/>
        <w:spacing w:after="0" w:line="257" w:lineRule="auto"/>
        <w:tabs>
          <w:tab w:leader="none" w:pos="25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of 1934 (and, where applicable, each filing of an employee benefit plan’s annual report pursuant to Section 15(d) of the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34" w:lineRule="exact"/>
        <w:rPr>
          <w:rFonts w:ascii="Arial" w:cs="Arial" w:eastAsia="Arial" w:hAnsi="Arial"/>
          <w:sz w:val="18"/>
          <w:szCs w:val="18"/>
          <w:color w:val="auto"/>
        </w:rPr>
      </w:pPr>
    </w:p>
    <w:p>
      <w:pPr>
        <w:ind w:left="246" w:right="20" w:hanging="246"/>
        <w:spacing w:after="0" w:line="271" w:lineRule="auto"/>
        <w:tabs>
          <w:tab w:leader="none" w:pos="247"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26"/>
          </w:cols>
          <w:pgMar w:left="734" w:top="719" w:right="239" w:bottom="1440" w:gutter="0" w:footer="0" w:header="0"/>
        </w:sectPr>
      </w:pPr>
    </w:p>
    <w:bookmarkStart w:id="5" w:name="page6"/>
    <w:bookmarkEnd w:id="5"/>
    <w:p>
      <w:pPr>
        <w:jc w:val="center"/>
        <w:ind w:left="48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Menlo Park, State of California, on February 24, 2020.</w:t>
      </w:r>
    </w:p>
    <w:p>
      <w:pPr>
        <w:spacing w:after="0" w:line="3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Corcept Therapeutics Incorporated</w:t>
      </w:r>
    </w:p>
    <w:p>
      <w:pPr>
        <w:spacing w:after="0" w:line="200" w:lineRule="exact"/>
        <w:rPr>
          <w:sz w:val="20"/>
          <w:szCs w:val="20"/>
          <w:color w:val="auto"/>
        </w:rPr>
      </w:pPr>
    </w:p>
    <w:p>
      <w:pPr>
        <w:spacing w:after="0" w:line="28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JOSEPH K. BELANOFF, M.D.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22860</wp:posOffset>
            </wp:positionV>
            <wp:extent cx="3387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65"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Joseph K. Belanoff, M.D.</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Joseph K. Belanoff and G. Charles Robb, and each of them acting individually, as his or her true and lawful attorneys-in-fact and agents, each with full power of substitution, for him or her in any and all capacities, to sign any and all amendments to this Registration Statement on Form S-8, and to file the same, with exhibits thereto and other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their substitute or substitutes, may lawfully do or cause to be done by virtue hereof.</w:t>
      </w:r>
    </w:p>
    <w:p>
      <w:pPr>
        <w:spacing w:after="0" w:line="124"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400"/>
          </w:cols>
          <w:pgMar w:left="240" w:top="715" w:right="2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 JOSEPH K. BELANOFF,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470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Joseph K. Belanoff, M.D.</w:t>
      </w:r>
    </w:p>
    <w:p>
      <w:pPr>
        <w:spacing w:after="0" w:line="162"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G. CHARLES ROBB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G. Charles Robb</w:t>
      </w:r>
    </w:p>
    <w:p>
      <w:pPr>
        <w:spacing w:after="0" w:line="200" w:lineRule="exact"/>
        <w:rPr>
          <w:sz w:val="20"/>
          <w:szCs w:val="20"/>
          <w:color w:val="auto"/>
        </w:rPr>
      </w:pPr>
    </w:p>
    <w:p>
      <w:pPr>
        <w:spacing w:after="0" w:line="286"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JAMES 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2470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69"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James N. Wilson</w:t>
      </w:r>
    </w:p>
    <w:p>
      <w:pPr>
        <w:spacing w:after="0" w:line="67"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G. LEONARD BAKER,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2470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G. Leonard Baker, Jr.</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DAVID L.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69"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David L. Mahoney</w:t>
      </w:r>
    </w:p>
    <w:p>
      <w:pPr>
        <w:spacing w:after="0" w:line="67"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KIMBERLY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470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Kimberly Park</w:t>
      </w:r>
    </w:p>
    <w:p>
      <w:pPr>
        <w:spacing w:after="0" w:line="67"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DANIEL N. SWISHER,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2470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204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546"/>
        </w:trPr>
        <w:tc>
          <w:tcPr>
            <w:tcW w:w="4240" w:type="dxa"/>
            <w:vAlign w:val="bottom"/>
            <w:gridSpan w:val="3"/>
          </w:tcPr>
          <w:p>
            <w:pPr>
              <w:spacing w:after="0"/>
              <w:rPr>
                <w:sz w:val="20"/>
                <w:szCs w:val="20"/>
                <w:color w:val="auto"/>
              </w:rPr>
            </w:pPr>
            <w:r>
              <w:rPr>
                <w:rFonts w:ascii="Arial" w:cs="Arial" w:eastAsia="Arial" w:hAnsi="Arial"/>
                <w:sz w:val="18"/>
                <w:szCs w:val="18"/>
                <w:color w:val="auto"/>
              </w:rPr>
              <w:t>Chief Executive Officer, President and Director</w:t>
            </w:r>
          </w:p>
        </w:tc>
        <w:tc>
          <w:tcPr>
            <w:tcW w:w="2040" w:type="dxa"/>
            <w:vAlign w:val="bottom"/>
          </w:tcPr>
          <w:p>
            <w:pPr>
              <w:spacing w:after="0"/>
              <w:rPr>
                <w:sz w:val="24"/>
                <w:szCs w:val="24"/>
                <w:color w:val="auto"/>
              </w:rPr>
            </w:pPr>
          </w:p>
        </w:tc>
      </w:t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2040" w:type="dxa"/>
            <w:vAlign w:val="bottom"/>
          </w:tcPr>
          <w:p>
            <w:pPr>
              <w:ind w:left="720"/>
              <w:spacing w:after="0"/>
              <w:rPr>
                <w:sz w:val="20"/>
                <w:szCs w:val="20"/>
                <w:color w:val="auto"/>
              </w:rPr>
            </w:pPr>
            <w:r>
              <w:rPr>
                <w:rFonts w:ascii="Arial" w:cs="Arial" w:eastAsia="Arial" w:hAnsi="Arial"/>
                <w:sz w:val="18"/>
                <w:szCs w:val="18"/>
                <w:color w:val="auto"/>
                <w:w w:val="88"/>
              </w:rPr>
              <w:t>February 24, 2020</w:t>
            </w:r>
          </w:p>
        </w:tc>
      </w:tr>
      <w:tr>
        <w:trPr>
          <w:trHeight w:val="526"/>
        </w:trPr>
        <w:tc>
          <w:tcPr>
            <w:tcW w:w="4240" w:type="dxa"/>
            <w:vAlign w:val="bottom"/>
            <w:gridSpan w:val="3"/>
          </w:tcPr>
          <w:p>
            <w:pPr>
              <w:spacing w:after="0"/>
              <w:rPr>
                <w:sz w:val="20"/>
                <w:szCs w:val="20"/>
                <w:color w:val="auto"/>
              </w:rPr>
            </w:pPr>
            <w:r>
              <w:rPr>
                <w:rFonts w:ascii="Arial" w:cs="Arial" w:eastAsia="Arial" w:hAnsi="Arial"/>
                <w:sz w:val="18"/>
                <w:szCs w:val="18"/>
                <w:color w:val="auto"/>
              </w:rPr>
              <w:t>Chief Financial Officer and Secretary (Principal</w:t>
            </w:r>
          </w:p>
        </w:tc>
        <w:tc>
          <w:tcPr>
            <w:tcW w:w="2040" w:type="dxa"/>
            <w:vAlign w:val="bottom"/>
          </w:tcPr>
          <w:p>
            <w:pPr>
              <w:spacing w:after="0"/>
              <w:rPr>
                <w:sz w:val="24"/>
                <w:szCs w:val="24"/>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Financial Officer and Principal Accounting</w:t>
            </w:r>
          </w:p>
        </w:tc>
        <w:tc>
          <w:tcPr>
            <w:tcW w:w="2040" w:type="dxa"/>
            <w:vAlign w:val="bottom"/>
          </w:tcPr>
          <w:p>
            <w:pPr>
              <w:spacing w:after="0"/>
              <w:rPr>
                <w:sz w:val="18"/>
                <w:szCs w:val="18"/>
                <w:color w:val="auto"/>
              </w:rPr>
            </w:pPr>
          </w:p>
        </w:tc>
      </w:t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rPr>
              <w:t>Officer)</w:t>
            </w:r>
          </w:p>
        </w:tc>
        <w:tc>
          <w:tcPr>
            <w:tcW w:w="2040" w:type="dxa"/>
            <w:vAlign w:val="bottom"/>
          </w:tcPr>
          <w:p>
            <w:pPr>
              <w:ind w:left="720"/>
              <w:spacing w:after="0"/>
              <w:rPr>
                <w:sz w:val="20"/>
                <w:szCs w:val="20"/>
                <w:color w:val="auto"/>
              </w:rPr>
            </w:pPr>
            <w:r>
              <w:rPr>
                <w:rFonts w:ascii="Arial" w:cs="Arial" w:eastAsia="Arial" w:hAnsi="Arial"/>
                <w:sz w:val="18"/>
                <w:szCs w:val="18"/>
                <w:color w:val="auto"/>
                <w:w w:val="88"/>
              </w:rPr>
              <w:t>February 24, 2020</w:t>
            </w:r>
          </w:p>
        </w:tc>
      </w:tr>
      <w:tr>
        <w:trPr>
          <w:trHeight w:val="770"/>
        </w:trPr>
        <w:tc>
          <w:tcPr>
            <w:tcW w:w="4240" w:type="dxa"/>
            <w:vAlign w:val="bottom"/>
            <w:gridSpan w:val="3"/>
          </w:tcPr>
          <w:p>
            <w:pPr>
              <w:spacing w:after="0"/>
              <w:rPr>
                <w:sz w:val="20"/>
                <w:szCs w:val="20"/>
                <w:color w:val="auto"/>
              </w:rPr>
            </w:pPr>
            <w:r>
              <w:rPr>
                <w:rFonts w:ascii="Arial" w:cs="Arial" w:eastAsia="Arial" w:hAnsi="Arial"/>
                <w:sz w:val="18"/>
                <w:szCs w:val="18"/>
                <w:color w:val="auto"/>
              </w:rPr>
              <w:t>Director and Chairman of the Board of Directors</w:t>
            </w:r>
          </w:p>
        </w:tc>
        <w:tc>
          <w:tcPr>
            <w:tcW w:w="2040" w:type="dxa"/>
            <w:vAlign w:val="bottom"/>
          </w:tcPr>
          <w:p>
            <w:pPr>
              <w:ind w:left="720"/>
              <w:spacing w:after="0"/>
              <w:rPr>
                <w:sz w:val="20"/>
                <w:szCs w:val="20"/>
                <w:color w:val="auto"/>
              </w:rPr>
            </w:pPr>
            <w:r>
              <w:rPr>
                <w:rFonts w:ascii="Arial" w:cs="Arial" w:eastAsia="Arial" w:hAnsi="Arial"/>
                <w:sz w:val="18"/>
                <w:szCs w:val="18"/>
                <w:color w:val="auto"/>
                <w:w w:val="88"/>
              </w:rPr>
              <w:t>February 24, 2020</w:t>
            </w:r>
          </w:p>
        </w:tc>
      </w:tr>
      <w:tr>
        <w:trPr>
          <w:trHeight w:val="986"/>
        </w:trPr>
        <w:tc>
          <w:tcPr>
            <w:tcW w:w="42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ind w:left="720"/>
              <w:spacing w:after="0"/>
              <w:rPr>
                <w:sz w:val="20"/>
                <w:szCs w:val="20"/>
                <w:color w:val="auto"/>
              </w:rPr>
            </w:pPr>
            <w:r>
              <w:rPr>
                <w:rFonts w:ascii="Arial" w:cs="Arial" w:eastAsia="Arial" w:hAnsi="Arial"/>
                <w:sz w:val="18"/>
                <w:szCs w:val="18"/>
                <w:color w:val="auto"/>
                <w:w w:val="88"/>
              </w:rPr>
              <w:t>February 24, 2020</w:t>
            </w:r>
          </w:p>
        </w:tc>
      </w:tr>
      <w:tr>
        <w:trPr>
          <w:trHeight w:val="770"/>
        </w:trPr>
        <w:tc>
          <w:tcPr>
            <w:tcW w:w="42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ind w:left="720"/>
              <w:spacing w:after="0"/>
              <w:rPr>
                <w:sz w:val="20"/>
                <w:szCs w:val="20"/>
                <w:color w:val="auto"/>
              </w:rPr>
            </w:pPr>
            <w:r>
              <w:rPr>
                <w:rFonts w:ascii="Arial" w:cs="Arial" w:eastAsia="Arial" w:hAnsi="Arial"/>
                <w:sz w:val="18"/>
                <w:szCs w:val="18"/>
                <w:color w:val="auto"/>
                <w:w w:val="88"/>
              </w:rPr>
              <w:t>February 24, 2020</w:t>
            </w:r>
          </w:p>
        </w:tc>
      </w:tr>
      <w:tr>
        <w:trPr>
          <w:trHeight w:val="986"/>
        </w:trPr>
        <w:tc>
          <w:tcPr>
            <w:tcW w:w="42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ind w:left="720"/>
              <w:spacing w:after="0"/>
              <w:rPr>
                <w:sz w:val="20"/>
                <w:szCs w:val="20"/>
                <w:color w:val="auto"/>
              </w:rPr>
            </w:pPr>
            <w:r>
              <w:rPr>
                <w:rFonts w:ascii="Arial" w:cs="Arial" w:eastAsia="Arial" w:hAnsi="Arial"/>
                <w:sz w:val="18"/>
                <w:szCs w:val="18"/>
                <w:color w:val="auto"/>
                <w:w w:val="88"/>
              </w:rPr>
              <w:t>February 24, 2020</w:t>
            </w:r>
          </w:p>
        </w:tc>
      </w:tr>
    </w:tbl>
    <w:p>
      <w:pPr>
        <w:spacing w:after="0" w:line="446" w:lineRule="exact"/>
        <w:rPr>
          <w:sz w:val="20"/>
          <w:szCs w:val="20"/>
          <w:color w:val="auto"/>
        </w:rPr>
      </w:pPr>
    </w:p>
    <w:p>
      <w:pPr>
        <w:sectPr>
          <w:pgSz w:w="11900" w:h="16838" w:orient="portrait"/>
          <w:cols w:equalWidth="0" w:num="2">
            <w:col w:w="3200" w:space="720"/>
            <w:col w:w="7480"/>
          </w:cols>
          <w:pgMar w:left="240" w:top="715" w:right="259" w:bottom="1440" w:gutter="0" w:footer="0" w:header="0"/>
          <w:type w:val="continuous"/>
        </w:sectPr>
      </w:pPr>
    </w:p>
    <w:p>
      <w:pPr>
        <w:spacing w:after="0" w:line="89" w:lineRule="exact"/>
        <w:rPr>
          <w:sz w:val="20"/>
          <w:szCs w:val="20"/>
          <w:color w:val="auto"/>
        </w:rPr>
      </w:pPr>
    </w:p>
    <w:p>
      <w:pPr>
        <w:ind w:left="1120"/>
        <w:spacing w:after="0"/>
        <w:tabs>
          <w:tab w:leader="none" w:pos="3900" w:val="left"/>
          <w:tab w:leader="none" w:pos="8860" w:val="left"/>
        </w:tabs>
        <w:rPr>
          <w:sz w:val="20"/>
          <w:szCs w:val="20"/>
          <w:color w:val="auto"/>
        </w:rPr>
      </w:pPr>
      <w:r>
        <w:rPr>
          <w:rFonts w:ascii="Arial" w:cs="Arial" w:eastAsia="Arial" w:hAnsi="Arial"/>
          <w:sz w:val="18"/>
          <w:szCs w:val="18"/>
          <w:b w:val="1"/>
          <w:bCs w:val="1"/>
          <w:color w:val="auto"/>
        </w:rPr>
        <w:t>Daniel N. Swisher, Jr.</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February 24, 2020</w:t>
      </w:r>
    </w:p>
    <w:p>
      <w:pPr>
        <w:sectPr>
          <w:pgSz w:w="11900" w:h="16838" w:orient="portrait"/>
          <w:cols w:equalWidth="0" w:num="1">
            <w:col w:w="11400"/>
          </w:cols>
          <w:pgMar w:left="240" w:top="715" w:right="259" w:bottom="1440" w:gutter="0" w:footer="0" w:header="0"/>
          <w:type w:val="continuous"/>
        </w:sectPr>
      </w:pPr>
    </w:p>
    <w:bookmarkStart w:id="6" w:name="page7"/>
    <w:bookmarkEnd w:id="6"/>
    <w:p>
      <w:pPr>
        <w:ind w:left="105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22"/>
          <w:szCs w:val="22"/>
          <w:color w:val="auto"/>
        </w:rPr>
        <w:t>February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-712470</wp:posOffset>
            </wp:positionV>
            <wp:extent cx="303593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303593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Corcept Therapeutics Incorporated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149 Commonwealth Drive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Menlo Park, CA 94025</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Re:  </w:t>
      </w:r>
      <w:r>
        <w:rPr>
          <w:rFonts w:ascii="Arial" w:cs="Arial" w:eastAsia="Arial" w:hAnsi="Arial"/>
          <w:sz w:val="19"/>
          <w:szCs w:val="19"/>
          <w:u w:val="single" w:color="auto"/>
          <w:color w:val="auto"/>
        </w:rPr>
        <w:t>Registration Statement on Form S-8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140 Scott Drive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Menlo Park, California 94025</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Tel: +1.650.328.4600 Fax: +1.650.463.2600</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www.lw.com</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40"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Moscow</w:t>
      </w:r>
    </w:p>
    <w:p>
      <w:pPr>
        <w:spacing w:after="0" w:line="40"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Munich</w:t>
      </w:r>
    </w:p>
    <w:p>
      <w:pPr>
        <w:spacing w:after="0" w:line="40"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40"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Orange County</w:t>
      </w:r>
    </w:p>
    <w:p>
      <w:pPr>
        <w:spacing w:after="0" w:line="121"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121"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148"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Rome</w:t>
      </w:r>
    </w:p>
    <w:p>
      <w:pPr>
        <w:spacing w:after="0" w:line="121"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Diego</w:t>
      </w:r>
    </w:p>
    <w:p>
      <w:pPr>
        <w:spacing w:after="0" w:line="121"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San Francisco</w:t>
      </w:r>
    </w:p>
    <w:p>
      <w:pPr>
        <w:spacing w:after="0" w:line="121"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Seoul</w:t>
      </w:r>
    </w:p>
    <w:p>
      <w:pPr>
        <w:spacing w:after="0" w:line="121"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Shanghai</w:t>
      </w:r>
    </w:p>
    <w:p>
      <w:pPr>
        <w:spacing w:after="0" w:line="121"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Silicon Valley</w:t>
      </w:r>
    </w:p>
    <w:p>
      <w:pPr>
        <w:spacing w:after="0" w:line="148"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Singapore</w:t>
      </w:r>
    </w:p>
    <w:p>
      <w:pPr>
        <w:spacing w:after="0" w:line="148" w:lineRule="exact"/>
        <w:rPr>
          <w:sz w:val="20"/>
          <w:szCs w:val="20"/>
          <w:color w:val="auto"/>
        </w:rPr>
      </w:pPr>
    </w:p>
    <w:p>
      <w:pPr>
        <w:spacing w:after="0"/>
        <w:tabs>
          <w:tab w:leader="none" w:pos="158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Tokyo</w:t>
      </w:r>
    </w:p>
    <w:p>
      <w:pPr>
        <w:spacing w:after="0" w:line="148" w:lineRule="exact"/>
        <w:rPr>
          <w:sz w:val="20"/>
          <w:szCs w:val="20"/>
          <w:color w:val="auto"/>
        </w:rPr>
      </w:pPr>
    </w:p>
    <w:p>
      <w:pPr>
        <w:spacing w:after="0"/>
        <w:tabs>
          <w:tab w:leader="none" w:pos="1580" w:val="left"/>
        </w:tabs>
        <w:rPr>
          <w:sz w:val="20"/>
          <w:szCs w:val="20"/>
          <w:color w:val="auto"/>
        </w:rPr>
      </w:pPr>
      <w:r>
        <w:rPr>
          <w:rFonts w:ascii="Arial" w:cs="Arial" w:eastAsia="Arial" w:hAnsi="Arial"/>
          <w:sz w:val="12"/>
          <w:szCs w:val="12"/>
          <w:color w:val="auto"/>
        </w:rPr>
        <w:t>Milan</w:t>
      </w:r>
      <w:r>
        <w:rPr>
          <w:sz w:val="20"/>
          <w:szCs w:val="20"/>
          <w:color w:val="auto"/>
        </w:rPr>
        <w:tab/>
      </w:r>
      <w:r>
        <w:rPr>
          <w:rFonts w:ascii="Arial" w:cs="Arial" w:eastAsia="Arial" w:hAnsi="Arial"/>
          <w:sz w:val="12"/>
          <w:szCs w:val="12"/>
          <w:color w:val="auto"/>
        </w:rPr>
        <w:t>Washington, D.C.</w:t>
      </w:r>
    </w:p>
    <w:p>
      <w:pPr>
        <w:spacing w:after="0" w:line="1021" w:lineRule="exact"/>
        <w:rPr>
          <w:sz w:val="20"/>
          <w:szCs w:val="20"/>
          <w:color w:val="auto"/>
        </w:rPr>
      </w:pPr>
    </w:p>
    <w:p>
      <w:pPr>
        <w:sectPr>
          <w:pgSz w:w="11900" w:h="16838" w:orient="portrait"/>
          <w:cols w:equalWidth="0" w:num="2">
            <w:col w:w="7540" w:space="720"/>
            <w:col w:w="3160"/>
          </w:cols>
          <w:pgMar w:left="240" w:top="121" w:right="239" w:bottom="1440" w:gutter="0" w:footer="0" w:header="0"/>
          <w:type w:val="continuous"/>
        </w:sectPr>
      </w:pPr>
    </w:p>
    <w:p>
      <w:pPr>
        <w:ind w:right="80" w:firstLine="648"/>
        <w:spacing w:after="0" w:line="246" w:lineRule="auto"/>
        <w:rPr>
          <w:sz w:val="20"/>
          <w:szCs w:val="20"/>
          <w:color w:val="auto"/>
        </w:rPr>
      </w:pPr>
      <w:r>
        <w:rPr>
          <w:rFonts w:ascii="Arial" w:cs="Arial" w:eastAsia="Arial" w:hAnsi="Arial"/>
          <w:sz w:val="22"/>
          <w:szCs w:val="22"/>
          <w:color w:val="auto"/>
        </w:rPr>
        <w:t>We have acted as special counsel to Corcept Therapeutics Incorporated,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in connection with the proposed issuance of up to 4,581,942 shares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of common stock, $0.001 par value per share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issuable or that may become issuable under the Company’s 2012 Incentive Award Plan (the “</w:t>
      </w:r>
      <w:r>
        <w:rPr>
          <w:rFonts w:ascii="Arial" w:cs="Arial" w:eastAsia="Arial" w:hAnsi="Arial"/>
          <w:sz w:val="22"/>
          <w:szCs w:val="22"/>
          <w:b w:val="1"/>
          <w:bCs w:val="1"/>
          <w:i w:val="1"/>
          <w:iCs w:val="1"/>
          <w:color w:val="auto"/>
        </w:rPr>
        <w:t>2012 Plan</w:t>
      </w:r>
      <w:r>
        <w:rPr>
          <w:rFonts w:ascii="Arial" w:cs="Arial" w:eastAsia="Arial" w:hAnsi="Arial"/>
          <w:sz w:val="22"/>
          <w:szCs w:val="22"/>
          <w:color w:val="auto"/>
        </w:rPr>
        <w:t>”), pursuant to a registration statement on Form S-8 under the Securities Act of 1933, as amended (the “</w:t>
      </w:r>
      <w:r>
        <w:rPr>
          <w:rFonts w:ascii="Arial" w:cs="Arial" w:eastAsia="Arial" w:hAnsi="Arial"/>
          <w:sz w:val="22"/>
          <w:szCs w:val="22"/>
          <w:b w:val="1"/>
          <w:bCs w:val="1"/>
          <w:i w:val="1"/>
          <w:iCs w:val="1"/>
          <w:color w:val="auto"/>
        </w:rPr>
        <w:t>Act</w:t>
      </w:r>
      <w:r>
        <w:rPr>
          <w:rFonts w:ascii="Arial" w:cs="Arial" w:eastAsia="Arial" w:hAnsi="Arial"/>
          <w:sz w:val="22"/>
          <w:szCs w:val="22"/>
          <w:color w:val="auto"/>
        </w:rPr>
        <w:t>”), filed with the Securities and Exchange Commission (the “</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on February 24, 2020 (the “</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w:t>
      </w:r>
    </w:p>
    <w:p>
      <w:pPr>
        <w:spacing w:after="0" w:line="1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w:t>
      </w:r>
    </w:p>
    <w:p>
      <w:pPr>
        <w:spacing w:after="0" w:line="1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are opining herein as to the General Corporation Law of the State of Delaware, and we express no opinion with respect to any other laws.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Subject to the foregoing and the other matters set forth herein, as of the date hereof, when the terms (including the exercise price and exercise period) and form of the options or equity awards pursuant to which the Shares will be issued are determined by resolution of the Company’s Board of Directors, or a duly authorized committee thereof, in accordance with the 2012 Plan, when the person or persons entitled to receive Shares and the number of Shares to be issued to such person or persons pursuant to the options or equity awards granted under the 2012 Plan are determined by resolution of the Company’s Board of Directors,</w:t>
      </w:r>
    </w:p>
    <w:p>
      <w:pPr>
        <w:sectPr>
          <w:pgSz w:w="11900" w:h="16838" w:orient="portrait"/>
          <w:cols w:equalWidth="0" w:num="1">
            <w:col w:w="11420"/>
          </w:cols>
          <w:pgMar w:left="240" w:top="121" w:right="2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398"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or a duly authorized committee thereof, and when either (i) the Shares shall have been duly registered on the books of the transfer agent and registrar therefor in the name or on behalf of such person or persons or (ii) when certificates representing the Shares in the form of the specimen certificate examined by us have been manually signed by an authorized officer of the transfer agent and registrar therefor, and receipt of payment for such Shares in the manner contemplated by the 2012 Plan in an amount in cash or other legal consideration of not less than the aggregate par value thereof, and assuming the Company completes all other actions and proceedings required on its part to be taken prior to the issuance and delivery of the Shares pursuant to the terms of the 2012 Plan, the Shares will be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bring your attention to the fact that Latham &amp; Watkins LLP and certain of the attorneys in this firm who have rendered, and will continue to render, legal services to the Company, own shares of Common Stock and warrants exercisable for shares of Common Stock representing in the aggregate less than one percent of the shares of Common Stock outstanding immediately prior to the filing of the Registration Statement.</w:t>
      </w:r>
    </w:p>
    <w:p>
      <w:pPr>
        <w:spacing w:after="0" w:line="13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 Latham &amp; Watkins LLP</w:t>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consent to the incorporation by reference in the Registration Statement (Form S-8) pertaining to the 2012 Incentive Award Plan of Corcept Therapeutics Incorporated of our reports dated February 24, 2020, with respect to the consolidated financial statements of Corcept Therapeutics Incorporated and the effectiveness of internal control over financial reporting of Corcept Therapeutics Incorporated included in its Annual Report (Form 10-K) for the year ended December 31, 2019, filed with the Securities and Exchange </w:t>
      </w:r>
      <w:r>
        <w:rPr>
          <w:rFonts w:ascii="Arial" w:cs="Arial" w:eastAsia="Arial" w:hAnsi="Arial"/>
          <w:sz w:val="18"/>
          <w:szCs w:val="18"/>
          <w:color w:val="333333"/>
        </w:rPr>
        <w:t>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3">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4">
    <w:nsid w:val="3D1B58B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5">
    <w:nsid w:val="507ED7A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jpeg"/><Relationship Id="rId18" Type="http://schemas.openxmlformats.org/officeDocument/2006/relationships/hyperlink" Target="http://www.sec.gov/Archives/edgar/data/1088856/000119312512347804/d357533dex31.htm" TargetMode="External"/><Relationship Id="rId19" Type="http://schemas.openxmlformats.org/officeDocument/2006/relationships/hyperlink" Target="http://www.sec.gov/Archives/edgar/data/1088856/000119312517040399/d335910dex31.htm" TargetMode="External"/><Relationship Id="rId20" Type="http://schemas.openxmlformats.org/officeDocument/2006/relationships/hyperlink" Target="http://www.sec.gov/Archives/edgar/data/1088856/000119312504018487/dex41.txt" TargetMode="External"/><Relationship Id="rId21" Type="http://schemas.openxmlformats.org/officeDocument/2006/relationships/hyperlink" Target="http://www.sec.gov/Archives/edgar/data/1088856/000119312512241869/d252618ddef14a.htm#toc252618_21" TargetMode="External"/><Relationship Id="rId22" Type="http://schemas.openxmlformats.org/officeDocument/2006/relationships/hyperlink" Target="http://www.sec.gov/Archives/edgar/data/1088856/000119312519050153/d708443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2020-02-24T16:10:28Z</dcterms:created>
  <dcterms:modified xsi:type="dcterms:W3CDTF">2020-02-24T16:10:28Z</dcterms:modified>
</cp:coreProperties>
</file>