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429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42988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026"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Guyer William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640"/>
        <w:spacing w:after="0" w:line="302" w:lineRule="auto"/>
        <w:rPr>
          <w:sz w:val="20"/>
          <w:szCs w:val="20"/>
          <w:color w:val="auto"/>
        </w:rPr>
      </w:pPr>
      <w:r>
        <w:rPr>
          <w:rFonts w:ascii="Times New Roman" w:cs="Times New Roman" w:eastAsia="Times New Roman" w:hAnsi="Times New Roman"/>
          <w:sz w:val="16"/>
          <w:szCs w:val="16"/>
          <w:color w:val="0000FF"/>
        </w:rPr>
        <w:t>C/O CORCEPT THERAPEUTICS INCORPORATED</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101 REDWOOD SHORES PARKWAY</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tcPr>
          <w:p>
            <w:pPr>
              <w:jc w:val="right"/>
              <w:ind w:right="563"/>
              <w:spacing w:after="0"/>
              <w:rPr>
                <w:sz w:val="20"/>
                <w:szCs w:val="20"/>
                <w:color w:val="auto"/>
              </w:rPr>
            </w:pPr>
            <w:r>
              <w:rPr>
                <w:rFonts w:ascii="Arial" w:cs="Arial" w:eastAsia="Arial" w:hAnsi="Arial"/>
                <w:sz w:val="13"/>
                <w:szCs w:val="13"/>
                <w:color w:val="auto"/>
                <w:w w:val="96"/>
              </w:rPr>
              <w:t>(Street)</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080" w:type="dxa"/>
            <w:vAlign w:val="bottom"/>
          </w:tcPr>
          <w:p>
            <w:pPr>
              <w:jc w:val="right"/>
              <w:ind w:right="103"/>
              <w:spacing w:after="0"/>
              <w:rPr>
                <w:sz w:val="20"/>
                <w:szCs w:val="20"/>
                <w:color w:val="auto"/>
              </w:rPr>
            </w:pPr>
            <w:r>
              <w:rPr>
                <w:rFonts w:ascii="Times New Roman" w:cs="Times New Roman" w:eastAsia="Times New Roman" w:hAnsi="Times New Roman"/>
                <w:sz w:val="17"/>
                <w:szCs w:val="17"/>
                <w:color w:val="0000FF"/>
              </w:rPr>
              <w:t>REDWOOD</w:t>
            </w: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94065</w:t>
            </w:r>
          </w:p>
        </w:tc>
        <w:tc>
          <w:tcPr>
            <w:tcW w:w="0" w:type="dxa"/>
            <w:vAlign w:val="bottom"/>
          </w:tcPr>
          <w:p>
            <w:pPr>
              <w:spacing w:after="0"/>
              <w:rPr>
                <w:sz w:val="1"/>
                <w:szCs w:val="1"/>
                <w:color w:val="auto"/>
              </w:rPr>
            </w:pPr>
          </w:p>
        </w:tc>
      </w:tr>
      <w:tr>
        <w:trPr>
          <w:trHeight w:val="114"/>
        </w:trPr>
        <w:tc>
          <w:tcPr>
            <w:tcW w:w="1080" w:type="dxa"/>
            <w:vAlign w:val="bottom"/>
            <w:vMerge w:val="restart"/>
          </w:tcPr>
          <w:p>
            <w:pPr>
              <w:jc w:val="right"/>
              <w:ind w:right="563"/>
              <w:spacing w:after="0"/>
              <w:rPr>
                <w:sz w:val="20"/>
                <w:szCs w:val="20"/>
                <w:color w:val="auto"/>
              </w:rPr>
            </w:pPr>
            <w:r>
              <w:rPr>
                <w:rFonts w:ascii="Times New Roman" w:cs="Times New Roman" w:eastAsia="Times New Roman" w:hAnsi="Times New Roman"/>
                <w:sz w:val="17"/>
                <w:szCs w:val="17"/>
                <w:color w:val="0000FF"/>
              </w:rPr>
              <w:t>CITY</w:t>
            </w:r>
          </w:p>
        </w:tc>
        <w:tc>
          <w:tcPr>
            <w:tcW w:w="9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08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2"/>
        </w:trPr>
        <w:tc>
          <w:tcPr>
            <w:tcW w:w="80" w:type="dxa"/>
            <w:vAlign w:val="bottom"/>
          </w:tcPr>
          <w:p>
            <w:pPr>
              <w:spacing w:after="0"/>
              <w:rPr>
                <w:sz w:val="18"/>
                <w:szCs w:val="18"/>
                <w:color w:val="auto"/>
              </w:rPr>
            </w:pPr>
          </w:p>
        </w:tc>
        <w:tc>
          <w:tcPr>
            <w:tcW w:w="3760" w:type="dxa"/>
            <w:vAlign w:val="bottom"/>
            <w:gridSpan w:val="3"/>
          </w:tcPr>
          <w:p>
            <w:pPr>
              <w:spacing w:after="0" w:line="206"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CORCEPT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CORT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43"/>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80" w:type="dxa"/>
            <w:vAlign w:val="bottom"/>
            <w:tcBorders>
              <w:top w:val="single" w:sz="8" w:color="0000EE"/>
            </w:tcBorders>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3"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3" w:lineRule="exact"/>
              <w:rPr>
                <w:sz w:val="20"/>
                <w:szCs w:val="20"/>
                <w:color w:val="auto"/>
              </w:rPr>
            </w:pPr>
            <w:r>
              <w:rPr>
                <w:rFonts w:ascii="Arial" w:cs="Arial" w:eastAsia="Arial" w:hAnsi="Arial"/>
                <w:sz w:val="13"/>
                <w:szCs w:val="13"/>
                <w:color w:val="auto"/>
              </w:rPr>
              <w:t>10% Owner</w:t>
            </w:r>
          </w:p>
        </w:tc>
      </w:tr>
      <w:tr>
        <w:trPr>
          <w:trHeight w:val="154"/>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147"/>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78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2" w:lineRule="exact"/>
              <w:rPr>
                <w:sz w:val="20"/>
                <w:szCs w:val="20"/>
                <w:color w:val="auto"/>
              </w:rPr>
            </w:pPr>
            <w:r>
              <w:rPr>
                <w:rFonts w:ascii="Arial" w:cs="Arial" w:eastAsia="Arial" w:hAnsi="Arial"/>
                <w:sz w:val="13"/>
                <w:szCs w:val="13"/>
                <w:color w:val="auto"/>
              </w:rPr>
              <w:t>below)</w:t>
            </w: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3100" w:type="dxa"/>
            <w:vAlign w:val="bottom"/>
            <w:gridSpan w:val="2"/>
          </w:tcPr>
          <w:p>
            <w:pPr>
              <w:ind w:left="540"/>
              <w:spacing w:after="0" w:line="194" w:lineRule="exact"/>
              <w:rPr>
                <w:sz w:val="20"/>
                <w:szCs w:val="20"/>
                <w:color w:val="auto"/>
              </w:rPr>
            </w:pPr>
            <w:r>
              <w:rPr>
                <w:rFonts w:ascii="Times New Roman" w:cs="Times New Roman" w:eastAsia="Times New Roman" w:hAnsi="Times New Roman"/>
                <w:sz w:val="17"/>
                <w:szCs w:val="17"/>
                <w:color w:val="0000FF"/>
              </w:rPr>
              <w:t>Chief Development Officer</w:t>
            </w:r>
          </w:p>
        </w:tc>
      </w:tr>
      <w:tr>
        <w:trPr>
          <w:trHeight w:val="217"/>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03/20/2026</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40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7" w:right="359" w:bottom="1026" w:gutter="0" w:footer="0" w:header="0"/>
          <w:type w:val="continuous"/>
        </w:sectPr>
      </w:pPr>
    </w:p>
    <w:p>
      <w:pPr>
        <w:spacing w:after="0" w:line="5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03/20/2026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11,767</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21.65</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41"/>
              <w:spacing w:after="0"/>
              <w:rPr>
                <w:sz w:val="20"/>
                <w:szCs w:val="20"/>
                <w:color w:val="auto"/>
              </w:rPr>
            </w:pPr>
            <w:r>
              <w:rPr>
                <w:rFonts w:ascii="Times New Roman" w:cs="Times New Roman" w:eastAsia="Times New Roman" w:hAnsi="Times New Roman"/>
                <w:sz w:val="17"/>
                <w:szCs w:val="17"/>
                <w:color w:val="0000FF"/>
              </w:rPr>
              <w:t>13,998</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03/20/2026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11,767</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36.01</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jc w:val="center"/>
              <w:ind w:right="281"/>
              <w:spacing w:after="0"/>
              <w:rPr>
                <w:sz w:val="20"/>
                <w:szCs w:val="20"/>
                <w:color w:val="auto"/>
              </w:rPr>
            </w:pPr>
            <w:r>
              <w:rPr>
                <w:rFonts w:ascii="Times New Roman" w:cs="Times New Roman" w:eastAsia="Times New Roman" w:hAnsi="Times New Roman"/>
                <w:sz w:val="17"/>
                <w:szCs w:val="17"/>
                <w:color w:val="0000FF"/>
              </w:rPr>
              <w:t>2,231</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21.65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03/20/2026</w:t>
            </w:r>
          </w:p>
        </w:tc>
        <w:tc>
          <w:tcPr>
            <w:tcW w:w="114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11,767</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09/01/2031</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11,767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210,000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224 shares underlying unvested restricted stock awards granted to the Reporting Person by the Issuer on December 1, 2025 and 498 shares underlying unvested restricted stock awards granted to the Reporting Person by the Issuer on March 2, 2026. 100% of the shares underlying the restricted stock awards will vest on the one-year anniversary of the grant date provided the Reporting Person satisfies certain requirements.</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10b5-1 plan adopted by the Reporting Person on November 27, 2024 in effect at the time of this transaction.</w:t>
      </w:r>
    </w:p>
    <w:p>
      <w:pPr>
        <w:spacing w:after="0" w:line="43"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for the entire number of shares sold. The actual sale prices range from $35.97 to $36.24 per share. Information on the exact number of shares sold at each sale price can be obtained from the Issuer upon request.</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under which this form was signed is on file with the Commission.</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Joseph Douglas Lyon,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1855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William</w:t>
      </w:r>
      <w:r>
        <w:rPr>
          <w:sz w:val="20"/>
          <w:szCs w:val="20"/>
          <w:color w:val="auto"/>
        </w:rPr>
        <w:tab/>
      </w:r>
      <w:r>
        <w:rPr>
          <w:rFonts w:ascii="Times New Roman" w:cs="Times New Roman" w:eastAsia="Times New Roman" w:hAnsi="Times New Roman"/>
          <w:sz w:val="16"/>
          <w:szCs w:val="16"/>
          <w:color w:val="0000FF"/>
        </w:rPr>
        <w:t>03/24/2026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Guyer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66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0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79013" TargetMode="External"/><Relationship Id="rId14" Type="http://schemas.openxmlformats.org/officeDocument/2006/relationships/hyperlink" Target="http://www.sec.gov/cgi-bin/browse-edgar?action=getcompany&amp;CIK=0001088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2026-03-24T15:57:23Z</dcterms:created>
  <dcterms:modified xsi:type="dcterms:W3CDTF">2026-03-24T15:57:23Z</dcterms:modified>
</cp:coreProperties>
</file>