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Maduck Sean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CORCEPT THERAPEUTICS INCORPORATED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REDWOOD SHORES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CORCEPT THERAPEUTICS INC</w:t>
              </w:r>
            </w:hyperlink>
            <w:r>
              <w:rPr/>
              <w:t xml:space="preserve"> [ </w:t>
            </w:r>
            <w:r>
              <w:rPr>
                <w:rFonts w:ascii="Times;serif" w:hAnsi="Times;serif"/>
                <w:color w:val="0000FF"/>
                <w:sz w:val="24"/>
                <w:shd w:fill="FFFFFF" w:val="clear"/>
              </w:rPr>
              <w:t>CORT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35"/>
        <w:gridCol w:w="924"/>
        <w:gridCol w:w="794"/>
        <w:gridCol w:w="614"/>
        <w:gridCol w:w="340"/>
        <w:gridCol w:w="908"/>
        <w:gridCol w:w="417"/>
        <w:gridCol w:w="1101"/>
        <w:gridCol w:w="1110"/>
        <w:gridCol w:w="963"/>
        <w:gridCol w:w="109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30,955</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11.35</w:t>
            </w:r>
          </w:p>
        </w:tc>
        <w:tc>
          <w:tcPr>
            <w:tcW w:w="11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40,710</w:t>
            </w:r>
            <w:r>
              <w:rPr>
                <w:rFonts w:ascii="Times;serif" w:hAnsi="Times;serif"/>
                <w:color w:val="008000"/>
                <w:position w:val="7"/>
                <w:sz w:val="16"/>
                <w:sz w:val="20"/>
                <w:shd w:fill="FFFFFF" w:val="clear"/>
              </w:rPr>
              <w:t>(1)</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25,085</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125.4676</w:t>
            </w:r>
            <w:r>
              <w:rPr>
                <w:rFonts w:ascii="Times;serif" w:hAnsi="Times;serif"/>
                <w:color w:val="008000"/>
                <w:position w:val="7"/>
                <w:sz w:val="16"/>
                <w:sz w:val="20"/>
                <w:shd w:fill="FFFFFF" w:val="clear"/>
              </w:rPr>
              <w:t>(3)</w:t>
            </w:r>
          </w:p>
        </w:tc>
        <w:tc>
          <w:tcPr>
            <w:tcW w:w="11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15,625</w:t>
            </w:r>
            <w:r>
              <w:rPr>
                <w:rFonts w:ascii="Times;serif" w:hAnsi="Times;serif"/>
                <w:color w:val="008000"/>
                <w:position w:val="7"/>
                <w:sz w:val="16"/>
                <w:sz w:val="20"/>
                <w:shd w:fill="FFFFFF" w:val="clear"/>
              </w:rPr>
              <w:t>(1)</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5,870</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126.0588</w:t>
            </w:r>
            <w:r>
              <w:rPr>
                <w:rFonts w:ascii="Times;serif" w:hAnsi="Times;serif"/>
                <w:color w:val="008000"/>
                <w:position w:val="7"/>
                <w:sz w:val="16"/>
                <w:sz w:val="20"/>
                <w:shd w:fill="FFFFFF" w:val="clear"/>
              </w:rPr>
              <w:t>(4)</w:t>
            </w:r>
          </w:p>
        </w:tc>
        <w:tc>
          <w:tcPr>
            <w:tcW w:w="11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9,755</w:t>
            </w:r>
            <w:r>
              <w:rPr>
                <w:rFonts w:ascii="Times;serif" w:hAnsi="Times;serif"/>
                <w:color w:val="008000"/>
                <w:position w:val="7"/>
                <w:sz w:val="16"/>
                <w:sz w:val="20"/>
                <w:shd w:fill="FFFFFF" w:val="clear"/>
              </w:rPr>
              <w:t>(1)</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5,147</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p>
        </w:tc>
      </w:tr>
      <w:tr>
        <w:trPr/>
        <w:tc>
          <w:tcPr>
            <w:tcW w:w="1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20,570</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p>
        </w:tc>
      </w:tr>
      <w:tr>
        <w:trPr/>
        <w:tc>
          <w:tcPr>
            <w:tcW w:w="1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(7)</w:t>
            </w:r>
          </w:p>
        </w:tc>
      </w:tr>
      <w:tr>
        <w:trPr/>
        <w:tc>
          <w:tcPr>
            <w:tcW w:w="1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34,000</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(8)</w:t>
            </w:r>
          </w:p>
        </w:tc>
      </w:tr>
      <w:tr>
        <w:trPr/>
        <w:tc>
          <w:tcPr>
            <w:tcW w:w="19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(9)</w:t>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30,955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02/08/2029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30,955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169,045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228 shares underlying unvested restricted stock awards granted to the Reporting Person by the Issuer on September 2, 2025, 205 shares underlying unvested restricted stock awards granted to the Reporting Person by the Issuer on December 1, 2025, 454 shares underlying unvested restricted stock awards granted to the Reporting Person by the Issuer on March 2, 2026 and 615 shares underlying unvested restricted stock awards granted to the Reporting Person by the Issuer on June 1, 2026. 100% of the shares underlying the restricted stock awards will vest on the one-year anniversary of the grant date provided the Reporting Person satisfies certain requirements.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made pursuant to a 10b5-1 plan adopted by the Reporting Person on December 8, 2025 in effect at the time of this transaction.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weighted average sale price for the entire number of shares sold. The actual sale prices range from $125.00 to $125.98 per share. Information on the exact number of shares sold at each sale price can be obtained from the Issuer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weighted average sale price for the entire number of shares sold. The actual sale prices range from $126.00 to $126.23 per share. Information on the exact number of shares sold at each sale price can be obtained from the Issuer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the shares held by Sean and Molly Maduck Living Trust of which the Reporting Person is a co-trustee.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the shares held by MMM 2025, LLC of which the Reporting Person is a member and manager.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Represents the shares held by SNM 2025 Grantor Retained Annuity Trust of which the Reporting Person is the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Represents the shares held by SNM 2026 Grantor Retained Annuity Trust of which the Reporting Person is the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Represents the shares held by Duckhill Capital, LLC of which the Reporting Person is President and disclaims beneficial ownership of the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Fully exercisable.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President, Corcept Endocrinology The power of attorney under which this form was signed is on file with the Commission.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Douglas Lyon, as attorney-in-fact for Sean Maduck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98310" TargetMode="External"/><Relationship Id="rId5" Type="http://schemas.openxmlformats.org/officeDocument/2006/relationships/hyperlink" Target="http://www.sec.gov/cgi-bin/browse-edgar?action=getcompany&amp;CIK=000108885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992</Words>
  <Characters>5277</Characters>
  <CharactersWithSpaces>6142</CharactersWithSpaces>
  <Paragraphs>155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