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0002150104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Vieira Roberto Wandenkolk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71" w:type="dxa"/>
            <w:tcBorders/>
            <w:vAlign w:val="center"/>
          </w:tcPr>
          <w:p>
            <w:pPr>
              <w:pStyle w:val="TableContents"/>
              <w:bidi w:val="0"/>
              <w:spacing w:before="0" w:after="0"/>
              <w:jc w:val="left"/>
              <w:rPr/>
            </w:pPr>
            <w:r>
              <w:rPr/>
              <w:t>Stifel Nicolaus &amp; Company Inc</w:t>
              <w:br/>
              <w:t>501 N Broadway</w:t>
              <w:br/>
              <w:t>St. Louis   MO   63102</w:t>
            </w:r>
          </w:p>
        </w:tc>
        <w:tc>
          <w:tcPr>
            <w:tcW w:w="1143" w:type="dxa"/>
            <w:tcBorders/>
            <w:vAlign w:val="center"/>
          </w:tcPr>
          <w:p>
            <w:pPr>
              <w:pStyle w:val="TableContents"/>
              <w:bidi w:val="0"/>
              <w:spacing w:before="0" w:after="283"/>
              <w:jc w:val="left"/>
              <w:rPr/>
            </w:pPr>
            <w:r>
              <w:rPr/>
              <w:t>75295</w:t>
            </w:r>
          </w:p>
        </w:tc>
        <w:tc>
          <w:tcPr>
            <w:tcW w:w="1436" w:type="dxa"/>
            <w:tcBorders/>
            <w:vAlign w:val="center"/>
          </w:tcPr>
          <w:p>
            <w:pPr>
              <w:pStyle w:val="TableContents"/>
              <w:bidi w:val="0"/>
              <w:spacing w:before="0" w:after="283"/>
              <w:jc w:val="left"/>
              <w:rPr/>
            </w:pPr>
            <w:r>
              <w:rPr/>
              <w:t>8339418.00</w:t>
            </w:r>
          </w:p>
        </w:tc>
        <w:tc>
          <w:tcPr>
            <w:tcW w:w="1529" w:type="dxa"/>
            <w:tcBorders/>
            <w:vAlign w:val="center"/>
          </w:tcPr>
          <w:p>
            <w:pPr>
              <w:pStyle w:val="TableContents"/>
              <w:bidi w:val="0"/>
              <w:spacing w:before="0" w:after="283"/>
              <w:jc w:val="left"/>
              <w:rPr/>
            </w:pPr>
            <w:r>
              <w:rPr/>
              <w:t>108098397</w:t>
            </w:r>
          </w:p>
        </w:tc>
        <w:tc>
          <w:tcPr>
            <w:tcW w:w="1553" w:type="dxa"/>
            <w:tcBorders/>
            <w:vAlign w:val="center"/>
          </w:tcPr>
          <w:p>
            <w:pPr>
              <w:pStyle w:val="TableContents"/>
              <w:bidi w:val="0"/>
              <w:spacing w:before="0" w:after="283"/>
              <w:jc w:val="left"/>
              <w:rPr/>
            </w:pPr>
            <w:r>
              <w:rPr/>
              <w:t>09/02/2026</w:t>
            </w:r>
          </w:p>
        </w:tc>
        <w:tc>
          <w:tcPr>
            <w:tcW w:w="135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02/01/2024</w:t>
            </w:r>
          </w:p>
        </w:tc>
        <w:tc>
          <w:tcPr>
            <w:tcW w:w="1505" w:type="dxa"/>
            <w:tcBorders/>
            <w:vAlign w:val="center"/>
          </w:tcPr>
          <w:p>
            <w:pPr>
              <w:pStyle w:val="TableContents"/>
              <w:bidi w:val="0"/>
              <w:spacing w:before="0" w:after="283"/>
              <w:jc w:val="left"/>
              <w:rPr/>
            </w:pPr>
            <w:r>
              <w:rPr/>
              <w:t xml:space="preserve">Stock Option Exercise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74999</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 xml:space="preserve">Cash </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 xml:space="preserve">ESPP </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296</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 xml:space="preserve">Cash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07"/>
        <w:gridCol w:w="5898"/>
      </w:tblGrid>
      <w:tr>
        <w:trPr/>
        <w:tc>
          <w:tcPr>
            <w:tcW w:w="4307" w:type="dxa"/>
            <w:tcBorders/>
            <w:vAlign w:val="center"/>
          </w:tcPr>
          <w:p>
            <w:pPr>
              <w:pStyle w:val="TableContents"/>
              <w:bidi w:val="0"/>
              <w:spacing w:before="0" w:after="283"/>
              <w:jc w:val="left"/>
              <w:rPr/>
            </w:pPr>
            <w:r>
              <w:rPr/>
              <w:t>Remarks</w:t>
            </w:r>
          </w:p>
        </w:tc>
        <w:tc>
          <w:tcPr>
            <w:tcW w:w="5898" w:type="dxa"/>
            <w:tcBorders/>
            <w:vAlign w:val="center"/>
          </w:tcPr>
          <w:p>
            <w:pPr>
              <w:pStyle w:val="TableContents"/>
              <w:bidi w:val="0"/>
              <w:spacing w:before="0" w:after="283"/>
              <w:jc w:val="left"/>
              <w:rPr>
                <w:sz w:val="4"/>
                <w:szCs w:val="4"/>
              </w:rPr>
            </w:pPr>
            <w:r>
              <w:rPr>
                <w:sz w:val="4"/>
                <w:szCs w:val="4"/>
              </w:rPr>
            </w:r>
          </w:p>
        </w:tc>
      </w:tr>
      <w:tr>
        <w:trPr/>
        <w:tc>
          <w:tcPr>
            <w:tcW w:w="4307" w:type="dxa"/>
            <w:tcBorders/>
            <w:vAlign w:val="center"/>
          </w:tcPr>
          <w:p>
            <w:pPr>
              <w:pStyle w:val="TableContents"/>
              <w:bidi w:val="0"/>
              <w:spacing w:before="0" w:after="283"/>
              <w:jc w:val="left"/>
              <w:rPr/>
            </w:pPr>
            <w:r>
              <w:rPr/>
              <w:t>Date of Notice</w:t>
            </w:r>
          </w:p>
        </w:tc>
        <w:tc>
          <w:tcPr>
            <w:tcW w:w="5898" w:type="dxa"/>
            <w:tcBorders/>
            <w:vAlign w:val="center"/>
          </w:tcPr>
          <w:p>
            <w:pPr>
              <w:pStyle w:val="TableContents"/>
              <w:bidi w:val="0"/>
              <w:spacing w:before="0" w:after="0"/>
              <w:jc w:val="left"/>
              <w:rPr/>
            </w:pPr>
            <w:r>
              <w:rPr/>
              <w:t>09/02/2026</w:t>
            </w:r>
          </w:p>
        </w:tc>
      </w:tr>
      <w:tr>
        <w:trPr/>
        <w:tc>
          <w:tcPr>
            <w:tcW w:w="4307" w:type="dxa"/>
            <w:tcBorders/>
            <w:vAlign w:val="center"/>
          </w:tcPr>
          <w:p>
            <w:pPr>
              <w:pStyle w:val="TableContents"/>
              <w:bidi w:val="0"/>
              <w:spacing w:before="0" w:after="283"/>
              <w:jc w:val="left"/>
              <w:rPr/>
            </w:pPr>
            <w:r>
              <w:rPr/>
              <w:t>Date of Plan Adoption or Giving of Instruction, If Relying on Rule 10b5-1</w:t>
            </w:r>
          </w:p>
        </w:tc>
        <w:tc>
          <w:tcPr>
            <w:tcW w:w="5898" w:type="dxa"/>
            <w:tcBorders/>
            <w:vAlign w:val="center"/>
          </w:tcPr>
          <w:p>
            <w:pPr>
              <w:pStyle w:val="TableContents"/>
              <w:bidi w:val="0"/>
              <w:spacing w:before="0" w:after="0"/>
              <w:jc w:val="left"/>
              <w:rPr/>
            </w:pPr>
            <w:r>
              <w:rPr/>
              <w:t>06/17/2026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07" w:type="dxa"/>
            <w:tcBorders/>
            <w:vAlign w:val="center"/>
          </w:tcPr>
          <w:p>
            <w:pPr>
              <w:pStyle w:val="TableContents"/>
              <w:bidi w:val="0"/>
              <w:spacing w:before="0" w:after="283"/>
              <w:jc w:val="left"/>
              <w:rPr/>
            </w:pPr>
            <w:r>
              <w:rPr/>
              <w:t>Signature</w:t>
            </w:r>
          </w:p>
        </w:tc>
        <w:tc>
          <w:tcPr>
            <w:tcW w:w="5898" w:type="dxa"/>
            <w:tcBorders/>
            <w:vAlign w:val="center"/>
          </w:tcPr>
          <w:p>
            <w:pPr>
              <w:pStyle w:val="TableContents"/>
              <w:bidi w:val="0"/>
              <w:spacing w:before="0" w:after="0"/>
              <w:jc w:val="left"/>
              <w:rPr/>
            </w:pPr>
            <w:r>
              <w:rPr/>
              <w:t>/s/ James Weimer, as a duly authorized representative of STIFEL, as attorney-in-fact for Roberto Vieira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3095</Characters>
  <CharactersWithSpaces>3648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