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Robb Gary Charles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CORCEPT THERAPEUTICS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REDWOOD SHORES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CORCEPT THERAPEUTICS INC</w:t>
              </w:r>
            </w:hyperlink>
            <w:r>
              <w:rPr/>
              <w:t xml:space="preserve"> [ </w:t>
            </w:r>
            <w:r>
              <w:rPr>
                <w:rFonts w:ascii="Times;serif" w:hAnsi="Times;serif"/>
                <w:color w:val="0000FF"/>
                <w:sz w:val="24"/>
                <w:shd w:fill="FFFFFF" w:val="clear"/>
              </w:rPr>
              <w:t>CORT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Business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8"/>
        <w:gridCol w:w="917"/>
        <w:gridCol w:w="786"/>
        <w:gridCol w:w="609"/>
        <w:gridCol w:w="347"/>
        <w:gridCol w:w="927"/>
        <w:gridCol w:w="441"/>
        <w:gridCol w:w="664"/>
        <w:gridCol w:w="1148"/>
        <w:gridCol w:w="989"/>
        <w:gridCol w:w="116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17,493</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8.27</w:t>
            </w:r>
          </w:p>
        </w:tc>
        <w:tc>
          <w:tcPr>
            <w:tcW w:w="11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31,156</w:t>
            </w:r>
            <w:r>
              <w:rPr>
                <w:rFonts w:ascii="Times;serif" w:hAnsi="Times;serif"/>
                <w:color w:val="008000"/>
                <w:position w:val="7"/>
                <w:sz w:val="16"/>
                <w:sz w:val="20"/>
                <w:shd w:fill="FFFFFF" w:val="clear"/>
              </w:rPr>
              <w:t>(1)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39,716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Gary Charles Robb TTE Robb Revocable Trust</w:t>
            </w:r>
            <w:r>
              <w:rPr>
                <w:rFonts w:ascii="Times;serif" w:hAnsi="Times;serif"/>
                <w:color w:val="008000"/>
                <w:position w:val="7"/>
                <w:sz w:val="16"/>
                <w:sz w:val="20"/>
                <w:shd w:fill="FFFFFF" w:val="clear"/>
              </w:rPr>
              <w:t>(2)</w:t>
            </w:r>
          </w:p>
        </w:tc>
      </w:tr>
      <w:tr>
        <w:trPr/>
        <w:tc>
          <w:tcPr>
            <w:tcW w:w="22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15,571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Custodial Account for Child</w:t>
            </w:r>
            <w:r>
              <w:rPr>
                <w:rFonts w:ascii="Times;serif" w:hAnsi="Times;serif"/>
                <w:color w:val="008000"/>
                <w:position w:val="7"/>
                <w:sz w:val="16"/>
                <w:sz w:val="20"/>
                <w:shd w:fill="FFFFFF" w:val="clear"/>
              </w:rPr>
              <w:t>(3)</w:t>
            </w:r>
          </w:p>
        </w:tc>
      </w:tr>
      <w:tr>
        <w:trPr/>
        <w:tc>
          <w:tcPr>
            <w:tcW w:w="220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15,571</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Custodial Account for Child</w:t>
            </w:r>
            <w:r>
              <w:rPr>
                <w:rFonts w:ascii="Times;serif" w:hAnsi="Times;serif"/>
                <w:color w:val="008000"/>
                <w:position w:val="7"/>
                <w:sz w:val="16"/>
                <w:sz w:val="20"/>
                <w:shd w:fill="FFFFFF" w:val="clear"/>
              </w:rPr>
              <w:t>(4)</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17,493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02/10/2027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17,493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182,507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224 shares underlying unvested restricted stock awards granted to the Reporting Person by the Issuer on December 1, 2025, 499 shares underlying unvested restricted stock awards granted to the Reporting Person by the Issuer on March 2, 2026, 776 shares underlying unvested restricted stock awards granted to the Reporting Person by the Issuer on June 1, 2026 and 164 shares underlying unvested restricted stock awards granted to the Reporting Person by the Issuer on September 1, 2026. 100% of the shares underlying the restricted stock awards will vest on the one-year anniversary of the grant date provided the Reporting Person satisfies certain requirements.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by Gary Charles Robb TTE Robb Revocable Trust of which the Reporting Person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by a child of the Reporting Person through a custodial account under the Uniform Transfers to Minors Act for which the Reporting Person is custodian.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by a child of the Reporting Person through a custodial account under the Uniform Transfers to Minors Act for which the Reporting Person is custodian.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Fully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power of attorney under which this form was signed is on file with the Commission.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Douglas Lyon, as attorney-in-fact for Gary Charles Robb</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9655" TargetMode="External"/><Relationship Id="rId5" Type="http://schemas.openxmlformats.org/officeDocument/2006/relationships/hyperlink" Target="http://www.sec.gov/cgi-bin/browse-edgar?action=getcompany&amp;CIK=00010888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823</Words>
  <Characters>4425</Characters>
  <CharactersWithSpaces>5150</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