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Vieira Roberto Wandenkolk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Oncology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12,279</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114.5205</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11,179</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115.7298</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9,093</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116.585</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3,946</w:t>
            </w:r>
            <w:r>
              <w:rPr>
                <w:rFonts w:ascii="Times;serif" w:hAnsi="Times;serif"/>
                <w:color w:val="008000"/>
                <w:position w:val="7"/>
                <w:sz w:val="16"/>
                <w:sz w:val="20"/>
                <w:shd w:fill="FFFFFF" w:val="clear"/>
              </w:rPr>
              <w:t>(1)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133,334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179 shares underlying unvested restricted stock awards granted to the Reporting Person by the Issuer on December 1, 2025, 396 shares underlying unvested restricted stock awards granted to the Reporting Person by the Issuer on March 2, 2026, 634 shares underlying unvested restricted stock awards granted to the Reporting Person by the Issuer on June 1, 2026 and 138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June 17, 2026, prior to the Reporting Person being appointed an officer of the Issuer, which was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$114.03 to $114.90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$115.16 to $116.04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$116.24 to $117.22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subject to the stock option vested and became exercisable with respect to 25% of the shares underlying the option on January 29, 2025 with the remaining shares vesting and becoming exercisable ratably on a monthly basis over a period of 36 consecutive months thereafter until fully vested and exercisable on January 29, 2028, subject to the Reporting Person's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Roberto Wandenkolk Vieira .</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50104"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978</Words>
  <Characters>5210</Characters>
  <CharactersWithSpaces>6077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