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4"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1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320" w:type="dxa"/>
            <w:vAlign w:val="bottom"/>
            <w:gridSpan w:val="2"/>
          </w:tcPr>
          <w:p>
            <w:pPr>
              <w:ind w:left="500"/>
              <w:spacing w:after="0"/>
              <w:rPr>
                <w:sz w:val="20"/>
                <w:szCs w:val="20"/>
                <w:color w:val="auto"/>
              </w:rPr>
            </w:pPr>
            <w:r>
              <w:rPr>
                <w:rFonts w:ascii="Arial" w:cs="Arial" w:eastAsia="Arial" w:hAnsi="Arial"/>
                <w:sz w:val="18"/>
                <w:szCs w:val="18"/>
                <w:b w:val="1"/>
                <w:bCs w:val="1"/>
                <w:color w:val="auto"/>
              </w:rPr>
              <w:t>For the transition period from</w:t>
            </w:r>
          </w:p>
        </w:tc>
        <w:tc>
          <w:tcPr>
            <w:tcW w:w="2420" w:type="dxa"/>
            <w:vAlign w:val="bottom"/>
            <w:gridSpan w:val="3"/>
          </w:tcPr>
          <w:p>
            <w:pPr>
              <w:ind w:left="60"/>
              <w:spacing w:after="0"/>
              <w:rPr>
                <w:sz w:val="20"/>
                <w:szCs w:val="20"/>
                <w:color w:val="auto"/>
              </w:rPr>
            </w:pPr>
            <w:r>
              <w:rPr>
                <w:rFonts w:ascii="Arial" w:cs="Arial" w:eastAsia="Arial" w:hAnsi="Arial"/>
                <w:sz w:val="18"/>
                <w:szCs w:val="18"/>
                <w:b w:val="1"/>
                <w:bCs w:val="1"/>
                <w:color w:val="auto"/>
              </w:rPr>
              <w:t>to</w:t>
            </w:r>
          </w:p>
        </w:tc>
        <w:tc>
          <w:tcPr>
            <w:tcW w:w="1000" w:type="dxa"/>
            <w:vAlign w:val="bottom"/>
          </w:tcPr>
          <w:p>
            <w:pPr>
              <w:spacing w:after="0"/>
              <w:rPr>
                <w:sz w:val="19"/>
                <w:szCs w:val="19"/>
                <w:color w:val="auto"/>
              </w:rPr>
            </w:pPr>
          </w:p>
        </w:tc>
      </w:tr>
      <w:tr>
        <w:trPr>
          <w:trHeight w:val="270"/>
        </w:trPr>
        <w:tc>
          <w:tcPr>
            <w:tcW w:w="1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740" w:type="dxa"/>
            <w:vAlign w:val="bottom"/>
            <w:gridSpan w:val="5"/>
          </w:tcPr>
          <w:p>
            <w:pPr>
              <w:jc w:val="center"/>
              <w:ind w:right="1086"/>
              <w:spacing w:after="0"/>
              <w:rPr>
                <w:sz w:val="20"/>
                <w:szCs w:val="20"/>
                <w:color w:val="auto"/>
              </w:rPr>
            </w:pPr>
            <w:r>
              <w:rPr>
                <w:rFonts w:ascii="Arial" w:cs="Arial" w:eastAsia="Arial" w:hAnsi="Arial"/>
                <w:sz w:val="18"/>
                <w:szCs w:val="18"/>
                <w:b w:val="1"/>
                <w:bCs w:val="1"/>
                <w:color w:val="auto"/>
                <w:w w:val="88"/>
              </w:rPr>
              <w:t>Commission File Number: 000-50679</w:t>
            </w:r>
          </w:p>
        </w:tc>
        <w:tc>
          <w:tcPr>
            <w:tcW w:w="1000" w:type="dxa"/>
            <w:vAlign w:val="bottom"/>
          </w:tcPr>
          <w:p>
            <w:pPr>
              <w:spacing w:after="0"/>
              <w:rPr>
                <w:sz w:val="23"/>
                <w:szCs w:val="23"/>
                <w:color w:val="auto"/>
              </w:rPr>
            </w:pPr>
          </w:p>
        </w:tc>
      </w:tr>
      <w:tr>
        <w:trPr>
          <w:trHeight w:val="410"/>
        </w:trPr>
        <w:tc>
          <w:tcPr>
            <w:tcW w:w="1860" w:type="dxa"/>
            <w:vAlign w:val="bottom"/>
          </w:tcPr>
          <w:p>
            <w:pPr>
              <w:spacing w:after="0"/>
              <w:rPr>
                <w:sz w:val="24"/>
                <w:szCs w:val="24"/>
                <w:color w:val="auto"/>
              </w:rPr>
            </w:pPr>
          </w:p>
        </w:tc>
        <w:tc>
          <w:tcPr>
            <w:tcW w:w="7940" w:type="dxa"/>
            <w:vAlign w:val="bottom"/>
            <w:gridSpan w:val="7"/>
          </w:tcPr>
          <w:p>
            <w:pPr>
              <w:jc w:val="center"/>
              <w:ind w:right="872"/>
              <w:spacing w:after="0"/>
              <w:rPr>
                <w:sz w:val="20"/>
                <w:szCs w:val="20"/>
                <w:color w:val="auto"/>
              </w:rPr>
            </w:pPr>
            <w:r>
              <w:rPr>
                <w:rFonts w:ascii="Arial" w:cs="Arial" w:eastAsia="Arial" w:hAnsi="Arial"/>
                <w:sz w:val="32"/>
                <w:szCs w:val="32"/>
                <w:b w:val="1"/>
                <w:bCs w:val="1"/>
                <w:color w:val="auto"/>
              </w:rPr>
              <w:t>CORCEPT THERAPEUTICS INCORPORATED</w:t>
            </w:r>
          </w:p>
        </w:tc>
      </w:tr>
      <w:tr>
        <w:trPr>
          <w:trHeight w:val="172"/>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740" w:type="dxa"/>
            <w:vAlign w:val="bottom"/>
            <w:gridSpan w:val="5"/>
          </w:tcPr>
          <w:p>
            <w:pPr>
              <w:jc w:val="center"/>
              <w:ind w:right="1066"/>
              <w:spacing w:after="0"/>
              <w:rPr>
                <w:sz w:val="20"/>
                <w:szCs w:val="20"/>
                <w:color w:val="auto"/>
              </w:rPr>
            </w:pPr>
            <w:r>
              <w:rPr>
                <w:rFonts w:ascii="Arial" w:cs="Arial" w:eastAsia="Arial" w:hAnsi="Arial"/>
                <w:sz w:val="14"/>
                <w:szCs w:val="14"/>
                <w:i w:val="1"/>
                <w:iCs w:val="1"/>
                <w:color w:val="auto"/>
                <w:w w:val="88"/>
              </w:rPr>
              <w:t>(Exact Name of Corporation as Specified in Its Charter)</w:t>
            </w:r>
          </w:p>
        </w:tc>
        <w:tc>
          <w:tcPr>
            <w:tcW w:w="1000" w:type="dxa"/>
            <w:vAlign w:val="bottom"/>
          </w:tcPr>
          <w:p>
            <w:pPr>
              <w:spacing w:after="0"/>
              <w:rPr>
                <w:sz w:val="14"/>
                <w:szCs w:val="14"/>
                <w:color w:val="auto"/>
              </w:rPr>
            </w:pPr>
          </w:p>
        </w:tc>
      </w:tr>
      <w:tr>
        <w:trPr>
          <w:trHeight w:val="136"/>
        </w:trPr>
        <w:tc>
          <w:tcPr>
            <w:tcW w:w="1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93"/>
        </w:trPr>
        <w:tc>
          <w:tcPr>
            <w:tcW w:w="1860" w:type="dxa"/>
            <w:vAlign w:val="bottom"/>
          </w:tcPr>
          <w:p>
            <w:pPr>
              <w:spacing w:after="0"/>
              <w:rPr>
                <w:sz w:val="24"/>
                <w:szCs w:val="24"/>
                <w:color w:val="auto"/>
              </w:rPr>
            </w:pPr>
          </w:p>
        </w:tc>
        <w:tc>
          <w:tcPr>
            <w:tcW w:w="4520" w:type="dxa"/>
            <w:vAlign w:val="bottom"/>
            <w:gridSpan w:val="3"/>
          </w:tcPr>
          <w:p>
            <w:pPr>
              <w:jc w:val="center"/>
              <w:ind w:right="3252"/>
              <w:spacing w:after="0"/>
              <w:rPr>
                <w:sz w:val="20"/>
                <w:szCs w:val="20"/>
                <w:color w:val="auto"/>
              </w:rPr>
            </w:pPr>
            <w:r>
              <w:rPr>
                <w:rFonts w:ascii="Arial" w:cs="Arial" w:eastAsia="Arial" w:hAnsi="Arial"/>
                <w:sz w:val="18"/>
                <w:szCs w:val="18"/>
                <w:b w:val="1"/>
                <w:bCs w:val="1"/>
                <w:color w:val="auto"/>
                <w:w w:val="88"/>
              </w:rPr>
              <w:t>Delaware</w:t>
            </w:r>
          </w:p>
        </w:tc>
        <w:tc>
          <w:tcPr>
            <w:tcW w:w="2420" w:type="dxa"/>
            <w:vAlign w:val="bottom"/>
            <w:gridSpan w:val="3"/>
          </w:tcPr>
          <w:p>
            <w:pPr>
              <w:jc w:val="center"/>
              <w:ind w:left="1492"/>
              <w:spacing w:after="0"/>
              <w:rPr>
                <w:sz w:val="20"/>
                <w:szCs w:val="20"/>
                <w:color w:val="auto"/>
              </w:rPr>
            </w:pPr>
            <w:r>
              <w:rPr>
                <w:rFonts w:ascii="Arial" w:cs="Arial" w:eastAsia="Arial" w:hAnsi="Arial"/>
                <w:sz w:val="18"/>
                <w:szCs w:val="18"/>
                <w:b w:val="1"/>
                <w:bCs w:val="1"/>
                <w:color w:val="auto"/>
                <w:w w:val="87"/>
              </w:rPr>
              <w:t>77-0487658</w:t>
            </w:r>
          </w:p>
        </w:tc>
        <w:tc>
          <w:tcPr>
            <w:tcW w:w="1000" w:type="dxa"/>
            <w:vAlign w:val="bottom"/>
          </w:tcPr>
          <w:p>
            <w:pPr>
              <w:spacing w:after="0"/>
              <w:rPr>
                <w:sz w:val="24"/>
                <w:szCs w:val="24"/>
                <w:color w:val="auto"/>
              </w:rPr>
            </w:pPr>
          </w:p>
        </w:tc>
      </w:tr>
      <w:tr>
        <w:trPr>
          <w:trHeight w:val="172"/>
        </w:trPr>
        <w:tc>
          <w:tcPr>
            <w:tcW w:w="6380" w:type="dxa"/>
            <w:vAlign w:val="bottom"/>
            <w:gridSpan w:val="4"/>
          </w:tcPr>
          <w:p>
            <w:pPr>
              <w:jc w:val="center"/>
              <w:ind w:right="1392"/>
              <w:spacing w:after="0"/>
              <w:rPr>
                <w:sz w:val="20"/>
                <w:szCs w:val="20"/>
                <w:color w:val="auto"/>
              </w:rPr>
            </w:pPr>
            <w:r>
              <w:rPr>
                <w:rFonts w:ascii="Arial" w:cs="Arial" w:eastAsia="Arial" w:hAnsi="Arial"/>
                <w:sz w:val="14"/>
                <w:szCs w:val="14"/>
                <w:i w:val="1"/>
                <w:iCs w:val="1"/>
                <w:color w:val="auto"/>
                <w:w w:val="91"/>
              </w:rPr>
              <w:t>(State or other jurisdiction of incorporation or organization)</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40" w:type="dxa"/>
            <w:vAlign w:val="bottom"/>
            <w:gridSpan w:val="2"/>
          </w:tcPr>
          <w:p>
            <w:pPr>
              <w:jc w:val="center"/>
              <w:spacing w:after="0"/>
              <w:rPr>
                <w:sz w:val="20"/>
                <w:szCs w:val="20"/>
                <w:color w:val="auto"/>
              </w:rPr>
            </w:pPr>
            <w:r>
              <w:rPr>
                <w:rFonts w:ascii="Arial" w:cs="Arial" w:eastAsia="Arial" w:hAnsi="Arial"/>
                <w:sz w:val="14"/>
                <w:szCs w:val="14"/>
                <w:i w:val="1"/>
                <w:iCs w:val="1"/>
                <w:color w:val="auto"/>
                <w:w w:val="89"/>
              </w:rPr>
              <w:t>(I.R.S. Employer Identification No.)</w:t>
            </w:r>
          </w:p>
        </w:tc>
      </w:tr>
      <w:tr>
        <w:trPr>
          <w:trHeight w:val="243"/>
        </w:trPr>
        <w:tc>
          <w:tcPr>
            <w:tcW w:w="1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20" w:type="dxa"/>
            <w:vAlign w:val="bottom"/>
          </w:tcPr>
          <w:p>
            <w:pPr>
              <w:jc w:val="center"/>
              <w:ind w:left="92"/>
              <w:spacing w:after="0"/>
              <w:rPr>
                <w:sz w:val="20"/>
                <w:szCs w:val="20"/>
                <w:color w:val="auto"/>
              </w:rPr>
            </w:pPr>
            <w:r>
              <w:rPr>
                <w:rFonts w:ascii="Arial" w:cs="Arial" w:eastAsia="Arial" w:hAnsi="Arial"/>
                <w:sz w:val="18"/>
                <w:szCs w:val="18"/>
                <w:b w:val="1"/>
                <w:bCs w:val="1"/>
                <w:color w:val="auto"/>
                <w:w w:val="89"/>
              </w:rPr>
              <w:t>149 Commonwealth Drive</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0"/>
        </w:trPr>
        <w:tc>
          <w:tcPr>
            <w:tcW w:w="1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20" w:type="dxa"/>
            <w:vAlign w:val="bottom"/>
          </w:tcPr>
          <w:p>
            <w:pPr>
              <w:jc w:val="center"/>
              <w:ind w:left="92"/>
              <w:spacing w:after="0"/>
              <w:rPr>
                <w:sz w:val="20"/>
                <w:szCs w:val="20"/>
                <w:color w:val="auto"/>
              </w:rPr>
            </w:pPr>
            <w:r>
              <w:rPr>
                <w:rFonts w:ascii="Arial" w:cs="Arial" w:eastAsia="Arial" w:hAnsi="Arial"/>
                <w:sz w:val="18"/>
                <w:szCs w:val="18"/>
                <w:b w:val="1"/>
                <w:bCs w:val="1"/>
                <w:color w:val="auto"/>
                <w:w w:val="91"/>
              </w:rPr>
              <w:t>Menlo Park, CA 94025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2"/>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740" w:type="dxa"/>
            <w:vAlign w:val="bottom"/>
            <w:gridSpan w:val="5"/>
          </w:tcPr>
          <w:p>
            <w:pPr>
              <w:jc w:val="center"/>
              <w:ind w:right="1066"/>
              <w:spacing w:after="0"/>
              <w:rPr>
                <w:sz w:val="20"/>
                <w:szCs w:val="20"/>
                <w:color w:val="auto"/>
              </w:rPr>
            </w:pPr>
            <w:r>
              <w:rPr>
                <w:rFonts w:ascii="Arial" w:cs="Arial" w:eastAsia="Arial" w:hAnsi="Arial"/>
                <w:sz w:val="14"/>
                <w:szCs w:val="14"/>
                <w:color w:val="auto"/>
                <w:w w:val="89"/>
              </w:rPr>
              <w:t>(Address of principal executive offices, including zip code)</w:t>
            </w:r>
          </w:p>
        </w:tc>
        <w:tc>
          <w:tcPr>
            <w:tcW w:w="100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53"/>
        </w:trPr>
        <w:tc>
          <w:tcPr>
            <w:tcW w:w="6380" w:type="dxa"/>
            <w:vAlign w:val="bottom"/>
            <w:gridSpan w:val="4"/>
          </w:tcPr>
          <w:p>
            <w:pPr>
              <w:jc w:val="center"/>
              <w:ind w:left="4236"/>
              <w:spacing w:after="0"/>
              <w:rPr>
                <w:sz w:val="20"/>
                <w:szCs w:val="20"/>
                <w:color w:val="auto"/>
              </w:rPr>
            </w:pPr>
            <w:r>
              <w:rPr>
                <w:rFonts w:ascii="Arial" w:cs="Arial" w:eastAsia="Arial" w:hAnsi="Arial"/>
                <w:sz w:val="18"/>
                <w:szCs w:val="18"/>
                <w:b w:val="1"/>
                <w:bCs w:val="1"/>
                <w:color w:val="auto"/>
                <w:w w:val="89"/>
              </w:rPr>
              <w:t>(650) 327-3270</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72"/>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740" w:type="dxa"/>
            <w:vAlign w:val="bottom"/>
            <w:gridSpan w:val="5"/>
          </w:tcPr>
          <w:p>
            <w:pPr>
              <w:jc w:val="center"/>
              <w:ind w:right="1086"/>
              <w:spacing w:after="0"/>
              <w:rPr>
                <w:sz w:val="20"/>
                <w:szCs w:val="20"/>
                <w:color w:val="auto"/>
              </w:rPr>
            </w:pPr>
            <w:r>
              <w:rPr>
                <w:rFonts w:ascii="Arial" w:cs="Arial" w:eastAsia="Arial" w:hAnsi="Arial"/>
                <w:sz w:val="14"/>
                <w:szCs w:val="14"/>
                <w:color w:val="auto"/>
                <w:w w:val="86"/>
              </w:rPr>
              <w:t>(Registrant’s telephone number, including area code)</w:t>
            </w:r>
          </w:p>
        </w:tc>
        <w:tc>
          <w:tcPr>
            <w:tcW w:w="1000" w:type="dxa"/>
            <w:vAlign w:val="bottom"/>
          </w:tcPr>
          <w:p>
            <w:pPr>
              <w:spacing w:after="0"/>
              <w:rPr>
                <w:sz w:val="14"/>
                <w:szCs w:val="14"/>
                <w:color w:val="auto"/>
              </w:rPr>
            </w:pPr>
          </w:p>
        </w:tc>
      </w:tr>
      <w:tr>
        <w:trPr>
          <w:trHeight w:val="136"/>
        </w:trPr>
        <w:tc>
          <w:tcPr>
            <w:tcW w:w="1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38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62"/>
        </w:trPr>
        <w:tc>
          <w:tcPr>
            <w:tcW w:w="1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740" w:type="dxa"/>
            <w:vAlign w:val="bottom"/>
            <w:gridSpan w:val="5"/>
          </w:tcPr>
          <w:p>
            <w:pPr>
              <w:jc w:val="center"/>
              <w:ind w:right="1086"/>
              <w:spacing w:after="0"/>
              <w:rPr>
                <w:sz w:val="20"/>
                <w:szCs w:val="20"/>
                <w:color w:val="auto"/>
              </w:rPr>
            </w:pPr>
            <w:r>
              <w:rPr>
                <w:rFonts w:ascii="Arial" w:cs="Arial" w:eastAsia="Arial" w:hAnsi="Arial"/>
                <w:sz w:val="18"/>
                <w:szCs w:val="18"/>
                <w:b w:val="1"/>
                <w:bCs w:val="1"/>
                <w:color w:val="auto"/>
                <w:w w:val="86"/>
              </w:rPr>
              <w:t>Securities registered pursuant to Section 12 (b) of the Act:</w:t>
            </w:r>
          </w:p>
        </w:tc>
        <w:tc>
          <w:tcPr>
            <w:tcW w:w="100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3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16"/>
        </w:trPr>
        <w:tc>
          <w:tcPr>
            <w:tcW w:w="1860" w:type="dxa"/>
            <w:vAlign w:val="bottom"/>
          </w:tcPr>
          <w:p>
            <w:pPr>
              <w:ind w:left="1280"/>
              <w:spacing w:after="0"/>
              <w:rPr>
                <w:sz w:val="20"/>
                <w:szCs w:val="20"/>
                <w:color w:val="auto"/>
              </w:rPr>
            </w:pPr>
            <w:r>
              <w:rPr>
                <w:rFonts w:ascii="Arial" w:cs="Arial" w:eastAsia="Arial" w:hAnsi="Arial"/>
                <w:sz w:val="18"/>
                <w:szCs w:val="18"/>
                <w:color w:val="auto"/>
                <w:w w:val="76"/>
              </w:rPr>
              <w:t>Common</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Stock, $0.001 par value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gridSpan w:val="2"/>
          </w:tcPr>
          <w:p>
            <w:pPr>
              <w:jc w:val="center"/>
              <w:spacing w:after="0"/>
              <w:rPr>
                <w:sz w:val="20"/>
                <w:szCs w:val="20"/>
                <w:color w:val="auto"/>
              </w:rPr>
            </w:pPr>
            <w:r>
              <w:rPr>
                <w:rFonts w:ascii="Arial" w:cs="Arial" w:eastAsia="Arial" w:hAnsi="Arial"/>
                <w:sz w:val="18"/>
                <w:szCs w:val="18"/>
                <w:color w:val="auto"/>
                <w:w w:val="92"/>
              </w:rPr>
              <w:t>The NASDAQ Capital Market</w:t>
            </w:r>
          </w:p>
        </w:tc>
      </w:tr>
      <w:tr>
        <w:trPr>
          <w:trHeight w:val="249"/>
        </w:trPr>
        <w:tc>
          <w:tcPr>
            <w:tcW w:w="1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740" w:type="dxa"/>
            <w:vAlign w:val="bottom"/>
            <w:gridSpan w:val="5"/>
          </w:tcPr>
          <w:p>
            <w:pPr>
              <w:jc w:val="center"/>
              <w:ind w:right="1086"/>
              <w:spacing w:after="0"/>
              <w:rPr>
                <w:sz w:val="20"/>
                <w:szCs w:val="20"/>
                <w:color w:val="auto"/>
              </w:rPr>
            </w:pPr>
            <w:r>
              <w:rPr>
                <w:rFonts w:ascii="Arial" w:cs="Arial" w:eastAsia="Arial" w:hAnsi="Arial"/>
                <w:sz w:val="18"/>
                <w:szCs w:val="18"/>
                <w:b w:val="1"/>
                <w:bCs w:val="1"/>
                <w:color w:val="auto"/>
                <w:w w:val="86"/>
              </w:rPr>
              <w:t>Securities registered pursuant to Section 12 (g) of the Act:</w:t>
            </w:r>
          </w:p>
        </w:tc>
        <w:tc>
          <w:tcPr>
            <w:tcW w:w="1000" w:type="dxa"/>
            <w:vAlign w:val="bottom"/>
          </w:tcPr>
          <w:p>
            <w:pPr>
              <w:spacing w:after="0"/>
              <w:rPr>
                <w:sz w:val="21"/>
                <w:szCs w:val="21"/>
                <w:color w:val="auto"/>
              </w:rPr>
            </w:pPr>
          </w:p>
        </w:tc>
      </w:tr>
      <w:tr>
        <w:trPr>
          <w:trHeight w:val="228"/>
        </w:trPr>
        <w:tc>
          <w:tcPr>
            <w:tcW w:w="1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20" w:type="dxa"/>
            <w:vAlign w:val="bottom"/>
          </w:tcPr>
          <w:p>
            <w:pPr>
              <w:jc w:val="center"/>
              <w:ind w:left="72"/>
              <w:spacing w:after="0"/>
              <w:rPr>
                <w:sz w:val="20"/>
                <w:szCs w:val="20"/>
                <w:color w:val="auto"/>
              </w:rPr>
            </w:pPr>
            <w:r>
              <w:rPr>
                <w:rFonts w:ascii="Arial" w:cs="Arial" w:eastAsia="Arial" w:hAnsi="Arial"/>
                <w:sz w:val="18"/>
                <w:szCs w:val="18"/>
                <w:b w:val="1"/>
                <w:bCs w:val="1"/>
                <w:color w:val="auto"/>
                <w:w w:val="84"/>
              </w:rPr>
              <w:t>None</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5"/>
        </w:trPr>
        <w:tc>
          <w:tcPr>
            <w:tcW w:w="8800" w:type="dxa"/>
            <w:vAlign w:val="bottom"/>
            <w:gridSpan w:val="7"/>
          </w:tcPr>
          <w:p>
            <w:pPr>
              <w:spacing w:after="0" w:line="207" w:lineRule="exact"/>
              <w:rPr>
                <w:sz w:val="20"/>
                <w:szCs w:val="20"/>
                <w:color w:val="auto"/>
              </w:rPr>
            </w:pPr>
            <w:r>
              <w:rPr>
                <w:rFonts w:ascii="Arial" w:cs="Arial" w:eastAsia="Arial" w:hAnsi="Arial"/>
                <w:sz w:val="18"/>
                <w:szCs w:val="18"/>
                <w:color w:val="auto"/>
                <w:w w:val="88"/>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8"/>
              </w:rPr>
              <w:t>☐</w:t>
            </w:r>
          </w:p>
        </w:tc>
        <w:tc>
          <w:tcPr>
            <w:tcW w:w="10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5"/>
        </w:trPr>
        <w:tc>
          <w:tcPr>
            <w:tcW w:w="880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 (d) of the Act. Yes</w:t>
            </w:r>
          </w:p>
        </w:tc>
        <w:tc>
          <w:tcPr>
            <w:tcW w:w="100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28" w:lineRule="exact"/>
        <w:rPr>
          <w:sz w:val="24"/>
          <w:szCs w:val="24"/>
          <w:color w:val="auto"/>
        </w:rPr>
      </w:pPr>
    </w:p>
    <w:p>
      <w:pPr>
        <w:ind w:right="3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to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8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34" w:lineRule="exact"/>
        <w:rPr>
          <w:sz w:val="24"/>
          <w:szCs w:val="24"/>
          <w:color w:val="auto"/>
        </w:rPr>
      </w:pPr>
    </w:p>
    <w:p>
      <w:pPr>
        <w:ind w:left="460"/>
        <w:spacing w:after="0" w:line="230" w:lineRule="exact"/>
        <w:rPr>
          <w:sz w:val="20"/>
          <w:szCs w:val="20"/>
          <w:color w:val="auto"/>
        </w:rPr>
      </w:pPr>
      <w:r>
        <w:rPr>
          <w:rFonts w:ascii="Arial" w:cs="Arial" w:eastAsia="Arial" w:hAnsi="Arial"/>
          <w:sz w:val="16"/>
          <w:szCs w:val="16"/>
          <w:color w:val="auto"/>
        </w:rPr>
        <w:t xml:space="preserve">Large Accelerated Filer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ind w:left="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5" w:lineRule="exact"/>
        <w:rPr>
          <w:sz w:val="24"/>
          <w:szCs w:val="24"/>
          <w:color w:val="auto"/>
        </w:rPr>
      </w:pPr>
    </w:p>
    <w:p>
      <w:pPr>
        <w:sectPr>
          <w:pgSz w:w="11900" w:h="16838" w:orient="portrait"/>
          <w:cols w:equalWidth="0" w:num="4">
            <w:col w:w="2200" w:space="20"/>
            <w:col w:w="4780" w:space="720"/>
            <w:col w:w="1920" w:space="80"/>
            <w:col w:w="1680"/>
          </w:cols>
          <w:pgMar w:left="240" w:top="230" w:right="259" w:bottom="1440" w:gutter="0" w:footer="0" w:header="0"/>
          <w:type w:val="continuous"/>
        </w:sectPr>
      </w:pPr>
    </w:p>
    <w:p>
      <w:pPr>
        <w:spacing w:after="0" w:line="2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3"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8620" w:space="100"/>
            <w:col w:w="160" w:space="180"/>
            <w:col w:w="2340"/>
          </w:cols>
          <w:pgMar w:left="240" w:top="230" w:right="259" w:bottom="1440" w:gutter="0" w:footer="0" w:header="0"/>
          <w:type w:val="continuous"/>
        </w:sectPr>
      </w:pPr>
    </w:p>
    <w:p>
      <w:pPr>
        <w:jc w:val="both"/>
        <w:ind w:right="100" w:firstLine="342"/>
        <w:spacing w:after="0" w:line="259" w:lineRule="auto"/>
        <w:rPr>
          <w:sz w:val="20"/>
          <w:szCs w:val="20"/>
          <w:color w:val="auto"/>
        </w:rPr>
      </w:pPr>
      <w:r>
        <w:rPr>
          <w:rFonts w:ascii="Arial" w:cs="Arial" w:eastAsia="Arial" w:hAnsi="Arial"/>
          <w:sz w:val="18"/>
          <w:szCs w:val="18"/>
          <w:color w:val="auto"/>
        </w:rPr>
        <w:t>The aggregate market value of voting and non-voting common equity held by non-affiliates of the Registrant was approximately $24,700,000 as of June 30, 2008 based upon the closing price on the Nasdaq Capital Market reported for such date. This calculation does not reflect a determination that certain persons are affiliates of the Registrant for any other purpose.</w:t>
      </w:r>
    </w:p>
    <w:p>
      <w:pPr>
        <w:spacing w:after="0" w:line="3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March 15, 2009 there were 49,763,206 shares of common stock outstanding at a par value $.001 per share.</w:t>
      </w:r>
    </w:p>
    <w:p>
      <w:pPr>
        <w:spacing w:after="0" w:line="5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20" w:type="dxa"/>
            <w:vAlign w:val="bottom"/>
            <w:gridSpan w:val="17"/>
          </w:tcPr>
          <w:p>
            <w:pPr>
              <w:jc w:val="center"/>
              <w:ind w:right="422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gridSpan w:val="16"/>
          </w:tcPr>
          <w:p>
            <w:pPr>
              <w:jc w:val="center"/>
              <w:ind w:right="4640"/>
              <w:spacing w:after="0"/>
              <w:rPr>
                <w:sz w:val="20"/>
                <w:szCs w:val="20"/>
                <w:color w:val="auto"/>
              </w:rPr>
            </w:pPr>
            <w:r>
              <w:rPr>
                <w:rFonts w:ascii="Arial" w:cs="Arial" w:eastAsia="Arial" w:hAnsi="Arial"/>
                <w:sz w:val="18"/>
                <w:szCs w:val="18"/>
                <w:b w:val="1"/>
                <w:bCs w:val="1"/>
                <w:color w:val="auto"/>
                <w:w w:val="94"/>
              </w:rPr>
              <w:t>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gridSpan w:val="19"/>
          </w:tcPr>
          <w:p>
            <w:pPr>
              <w:jc w:val="center"/>
              <w:ind w:right="3380"/>
              <w:spacing w:after="0"/>
              <w:rPr>
                <w:sz w:val="20"/>
                <w:szCs w:val="20"/>
                <w:color w:val="auto"/>
              </w:rPr>
            </w:pPr>
            <w:r>
              <w:rPr>
                <w:rFonts w:ascii="Arial" w:cs="Arial" w:eastAsia="Arial" w:hAnsi="Arial"/>
                <w:sz w:val="18"/>
                <w:szCs w:val="18"/>
                <w:b w:val="1"/>
                <w:bCs w:val="1"/>
                <w:color w:val="auto"/>
                <w:w w:val="87"/>
              </w:rPr>
              <w:t>For the year ended December 31, 2008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10"/>
            <w:vMerge w:val="restart"/>
          </w:tcPr>
          <w:p>
            <w:pPr>
              <w:jc w:val="center"/>
              <w:ind w:right="456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20" w:type="dxa"/>
            <w:vAlign w:val="bottom"/>
            <w:gridSpan w:val="10"/>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w:t>
            </w:r>
          </w:p>
        </w:tc>
        <w:tc>
          <w:tcPr>
            <w:tcW w:w="43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24"/>
                <w:szCs w:val="24"/>
                <w:color w:val="auto"/>
              </w:rPr>
            </w:pPr>
          </w:p>
        </w:tc>
        <w:tc>
          <w:tcPr>
            <w:tcW w:w="45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2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Unresolved Staff Comments</w:t>
              </w:r>
            </w:hyperlink>
          </w:p>
        </w:tc>
        <w:tc>
          <w:tcPr>
            <w:tcW w:w="746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Properties</w:t>
              </w:r>
            </w:hyperlink>
          </w:p>
        </w:tc>
        <w:tc>
          <w:tcPr>
            <w:tcW w:w="8740" w:type="dxa"/>
            <w:vAlign w:val="bottom"/>
            <w:gridSpan w:val="2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3.</w:t>
            </w:r>
          </w:p>
        </w:tc>
        <w:tc>
          <w:tcPr>
            <w:tcW w:w="946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11"/>
          </w:tcPr>
          <w:p>
            <w:pPr>
              <w:jc w:val="center"/>
              <w:ind w:right="4520"/>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2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1"/>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7.</w:t>
            </w:r>
          </w:p>
        </w:tc>
        <w:tc>
          <w:tcPr>
            <w:tcW w:w="946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9"/>
          </w:tcPr>
          <w:p>
            <w:pPr>
              <w:spacing w:after="0"/>
              <w:rPr>
                <w:sz w:val="24"/>
                <w:szCs w:val="24"/>
                <w:color w:val="auto"/>
              </w:rPr>
            </w:pPr>
          </w:p>
        </w:tc>
        <w:tc>
          <w:tcPr>
            <w:tcW w:w="31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Financial Statements and Supplementary Data</w:t>
              </w:r>
            </w:hyperlink>
          </w:p>
        </w:tc>
        <w:tc>
          <w:tcPr>
            <w:tcW w:w="62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9.</w:t>
            </w:r>
          </w:p>
        </w:tc>
        <w:tc>
          <w:tcPr>
            <w:tcW w:w="9460" w:type="dxa"/>
            <w:vAlign w:val="bottom"/>
            <w:gridSpan w:val="2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9A (T).</w:t>
            </w:r>
          </w:p>
        </w:tc>
        <w:tc>
          <w:tcPr>
            <w:tcW w:w="6320" w:type="dxa"/>
            <w:vAlign w:val="bottom"/>
            <w:tcBorders>
              <w:top w:val="single" w:sz="8" w:color="0000EE"/>
            </w:tcBorders>
            <w:gridSpan w:val="2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31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774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III</w:t>
              </w:r>
            </w:hyperlink>
          </w:p>
        </w:tc>
        <w:tc>
          <w:tcPr>
            <w:tcW w:w="446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Directors, Executive Officers and Corporate Governance</w:t>
              </w:r>
            </w:hyperlink>
          </w:p>
        </w:tc>
        <w:tc>
          <w:tcPr>
            <w:tcW w:w="54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11.</w:t>
            </w:r>
          </w:p>
        </w:tc>
        <w:tc>
          <w:tcPr>
            <w:tcW w:w="9460" w:type="dxa"/>
            <w:vAlign w:val="bottom"/>
            <w:gridSpan w:val="2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Security Ownership of Certain Beneficial Owners and Management and Related Stockholder Matters</w:t>
              </w:r>
            </w:hyperlink>
          </w:p>
        </w:tc>
        <w:tc>
          <w:tcPr>
            <w:tcW w:w="2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13.</w:t>
            </w:r>
          </w:p>
        </w:tc>
        <w:tc>
          <w:tcPr>
            <w:tcW w:w="9460" w:type="dxa"/>
            <w:vAlign w:val="bottom"/>
            <w:gridSpan w:val="2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Principal Accounting Fees and Services</w:t>
              </w:r>
            </w:hyperlink>
          </w:p>
        </w:tc>
        <w:tc>
          <w:tcPr>
            <w:tcW w:w="41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13"/>
          </w:tcPr>
          <w:p>
            <w:pPr>
              <w:jc w:val="center"/>
              <w:ind w:right="4460"/>
              <w:spacing w:after="0"/>
              <w:rPr>
                <w:rFonts w:ascii="Arial" w:cs="Arial" w:eastAsia="Arial" w:hAnsi="Arial"/>
                <w:sz w:val="18"/>
                <w:szCs w:val="18"/>
                <w:b w:val="1"/>
                <w:bCs w:val="1"/>
                <w:color w:val="0000EE"/>
                <w:w w:val="98"/>
              </w:rPr>
            </w:pPr>
            <w:hyperlink w:anchor="page82">
              <w:r>
                <w:rPr>
                  <w:rFonts w:ascii="Arial" w:cs="Arial" w:eastAsia="Arial" w:hAnsi="Arial"/>
                  <w:sz w:val="18"/>
                  <w:szCs w:val="18"/>
                  <w:b w:val="1"/>
                  <w:bCs w:val="1"/>
                  <w:color w:val="0000EE"/>
                  <w:w w:val="98"/>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82">
              <w:r>
                <w:rPr>
                  <w:rFonts w:ascii="Arial" w:cs="Arial" w:eastAsia="Arial" w:hAnsi="Arial"/>
                  <w:sz w:val="18"/>
                  <w:szCs w:val="18"/>
                  <w:color w:val="0000EE"/>
                  <w:w w:val="87"/>
                </w:rPr>
                <w:t>Exhibits, Financial Statement Schedules</w:t>
              </w:r>
            </w:hyperlink>
          </w:p>
        </w:tc>
        <w:tc>
          <w:tcPr>
            <w:tcW w:w="1440" w:type="dxa"/>
            <w:vAlign w:val="bottom"/>
            <w:gridSpan w:val="5"/>
          </w:tcPr>
          <w:p>
            <w:pPr>
              <w:spacing w:after="0"/>
              <w:rPr>
                <w:sz w:val="24"/>
                <w:szCs w:val="24"/>
                <w:color w:val="auto"/>
              </w:rPr>
            </w:pPr>
          </w:p>
        </w:tc>
        <w:tc>
          <w:tcPr>
            <w:tcW w:w="700" w:type="dxa"/>
            <w:vAlign w:val="bottom"/>
            <w:tcBorders>
              <w:top w:val="single" w:sz="8" w:color="0000EE"/>
            </w:tcBorders>
            <w:gridSpan w:val="5"/>
          </w:tcPr>
          <w:p>
            <w:pPr>
              <w:spacing w:after="0"/>
              <w:rPr>
                <w:sz w:val="24"/>
                <w:szCs w:val="24"/>
                <w:color w:val="auto"/>
              </w:rPr>
            </w:pPr>
          </w:p>
        </w:tc>
        <w:tc>
          <w:tcPr>
            <w:tcW w:w="44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This Annual Report on Form 10-K, or Form 10-K, contains forward-looking statements within the meaning of Section 21E of the Securities Exchange Act of 1934, as amended, and Section 27A of the Securities Act of 1933, as amended. All statements contained in this Form 10-K, other than statements of historical fact, are forward-looking statements. When used in this report or elsewhere by management from time to time, the words “believe,” “anticipate,” “intend,” “plan,” “estimate,” “expect,” “may,” “will,” “should,” “seeks” and similar expressions are forward-looking statements. Such forward-looking statements are based on current expectations, but the absence of these words does not necessarily mean that a statement is not forward-looking. Forward-looking statements made in this Form 10-K include, but are not limited to, statements about:</w:t>
      </w:r>
    </w:p>
    <w:p>
      <w:pPr>
        <w:spacing w:after="0" w:line="39" w:lineRule="exact"/>
        <w:rPr>
          <w:sz w:val="20"/>
          <w:szCs w:val="20"/>
          <w:color w:val="auto"/>
        </w:rPr>
      </w:pPr>
    </w:p>
    <w:p>
      <w:pPr>
        <w:ind w:left="660" w:right="100" w:hanging="206"/>
        <w:spacing w:after="0" w:line="221"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progress of our research, development and clinical programs and timing of the introduction of CORLUX</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and future product candidates, including CORT 108297;</w:t>
      </w:r>
    </w:p>
    <w:p>
      <w:pPr>
        <w:spacing w:after="0" w:line="62"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the dates by which we expect to report results of our clinical trials and the anticipated results of these trials;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market, commercialize and achieve market acceptance for CORLUX or other future product candidates;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associated with obtaining and enforcing patents;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for future performance; and</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our capital requirements and our needs for additional financing.</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Forward-looking statements are not guarantees of future performance and involve risks and uncertainties. Actual events or results may differ materially from those discussed in the forward-looking statements as a result of various factors. For a more detailed discussion of such forward-looking statements and the potential risks and uncertainties that may impact upon their accuracy, see the “Risk Factors” section of this Form 10-K and the “Overview” and “Liquidity and Capital Resources” sections of the “Management’s Discussion and Analysis of Financial Condition and Results of Operations” section of this Form 10-K. These forward-looking statements reflect our view only as of the date of this report. Except as required by law, we undertake no obligations to update any forward looking statements. Accordingly, you should also carefully consider the factors set forth in other reports or documents that we file from time to time with the Securities and Exchange Commission.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Corcept Therapeutics Incorporated is a pharmaceutical company headquartered in Menlo Park, California engaged in the development of drugs for the treatment of severe psychiatric and metabolic diseases. Our current focus is on the development of drugs for disorders that are associated with a steroid hormone called cortisol. Elevated levels and abnormal release patterns of cortisol have been implicated in a broad range of human disorders. Our scientific founders are responsible for many of the critical discoveries illustrating the link between psychiatric and metabolic disorders and aberrant cortisol. Since our inception in May 1998, we have been developing our lead product, CORLUX, a glucocorticoid receptor II, or GR-II, antagonist. CORLUX modulates the effect of cortisol by selectively blocking the binding of cortisol to one of its two known receptors, the GR-II receptor, also known as the Type II or GR receptor.</w:t>
      </w:r>
    </w:p>
    <w:p>
      <w:pPr>
        <w:spacing w:after="0" w:line="39" w:lineRule="exact"/>
        <w:rPr>
          <w:sz w:val="20"/>
          <w:szCs w:val="20"/>
          <w:color w:val="auto"/>
        </w:rPr>
      </w:pPr>
    </w:p>
    <w:p>
      <w:pPr>
        <w:jc w:val="both"/>
        <w:ind w:left="900" w:hanging="325"/>
        <w:spacing w:after="0" w:line="28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Psychotic depression. </w:t>
      </w:r>
      <w:r>
        <w:rPr>
          <w:rFonts w:ascii="Arial" w:cs="Arial" w:eastAsia="Arial" w:hAnsi="Arial"/>
          <w:sz w:val="16"/>
          <w:szCs w:val="16"/>
          <w:color w:val="auto"/>
        </w:rPr>
        <w:t>We have an exclusive patent license from Stanford University for the use of GR-II antagonists to treat the psychotic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of psychotic major depression, hereinafter referred to as psychotic depression. The United States Food and Drug Administration (FDA) granted “fast track” status to our program to evaluate the safety and efficacy of CORLUX for the treatment of the psychotic features of psychotic depression.</w:t>
      </w:r>
    </w:p>
    <w:p>
      <w:pPr>
        <w:spacing w:after="0" w:line="1" w:lineRule="exact"/>
        <w:rPr>
          <w:rFonts w:ascii="Arial" w:cs="Arial" w:eastAsia="Arial" w:hAnsi="Arial"/>
          <w:sz w:val="16"/>
          <w:szCs w:val="16"/>
          <w:color w:val="auto"/>
        </w:rPr>
      </w:pPr>
    </w:p>
    <w:p>
      <w:pPr>
        <w:ind w:left="900" w:right="100"/>
        <w:spacing w:after="0" w:line="323" w:lineRule="auto"/>
        <w:rPr>
          <w:rFonts w:ascii="Arial" w:cs="Arial" w:eastAsia="Arial" w:hAnsi="Arial"/>
          <w:sz w:val="16"/>
          <w:szCs w:val="16"/>
          <w:color w:val="auto"/>
        </w:rPr>
      </w:pPr>
      <w:r>
        <w:rPr>
          <w:rFonts w:ascii="Arial" w:cs="Arial" w:eastAsia="Arial" w:hAnsi="Arial"/>
          <w:sz w:val="16"/>
          <w:szCs w:val="16"/>
          <w:color w:val="auto"/>
        </w:rPr>
        <w:t>Psychotic depression affects approximately three million people annually in the US. There is no FDA-approved treatment for psychotic depression. Psychiatrists currently use two approaches: electroconvulsive therapy (ECT), which involves passing an electrical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current through the brain until the patient has a seizure, and combination drug therapy (simultaneous use of antidepressant and antipsychotic medications). Both ECT and combination drug therapy almost always have slow onsets of action and debilitating side effects. By modifying the level and release pattern of cortisol within the human body, we believe that CORLUX may be able to treat the psychotic features of psychotic depression more quickly and effectively and with fewer side effects than is possible with currently available treatments.</w:t>
      </w:r>
    </w:p>
    <w:p>
      <w:pPr>
        <w:spacing w:after="0" w:line="45" w:lineRule="exact"/>
        <w:rPr>
          <w:sz w:val="20"/>
          <w:szCs w:val="20"/>
          <w:color w:val="auto"/>
        </w:rPr>
      </w:pPr>
    </w:p>
    <w:p>
      <w:pPr>
        <w:ind w:left="920" w:right="140"/>
        <w:spacing w:after="0" w:line="290" w:lineRule="auto"/>
        <w:rPr>
          <w:sz w:val="20"/>
          <w:szCs w:val="20"/>
          <w:color w:val="auto"/>
        </w:rPr>
      </w:pPr>
      <w:r>
        <w:rPr>
          <w:rFonts w:ascii="Arial" w:cs="Arial" w:eastAsia="Arial" w:hAnsi="Arial"/>
          <w:sz w:val="16"/>
          <w:szCs w:val="16"/>
          <w:color w:val="auto"/>
        </w:rPr>
        <w:t>Three Phase 3 clinical trials have been completed. While the response rate to CORLUX exceeded the response rate to placebo in each of these studies for the primary endpoint, a 50% reduction in the Brief Psychiatric Rating Scale Positive Symptom Subscale (BPRS PSS) at day 7 sustained to day 56, in none of these studies was the difference in response rate statistically significant. However a robust relationship was demonstrated between higher plasma levels of CORLUX and higher response rates. This relationship was tested prospectively in the third of our three completed Phase 3 trials based on a predetermined plasma concentration. Patients whose plasma level exceeded this predetermined level had higher response rates than the placebo group and the difference was statistically significant. We believe that the confirmation of a drug concentration/response correlation threshold for efficacy provides a strong basis for the design of our ongoing fourth Phase 3 study.</w:t>
      </w:r>
    </w:p>
    <w:p>
      <w:pPr>
        <w:spacing w:after="0" w:line="37"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We are currently enrolling patients in an additional pivotal Phase 3 study of CORLUX in psychotic depression. This trial was designed to benefit from the findings of our earlier studies. As such, we have increased the CORLUX dose to 1200 mg per day from the 600 mg used throughout most of the earlier Phase 3 trials. This change in dose is expected to substantially increase the number of patients whose plasma drug level exceeds the threshold needed to see a response that exceeds the response in the placebo group with statistical significance. We have also centralized the diagnosis and rating of disease activity to improve consistency and reduce bias. Based on the findings of our earlier trials, we believe that the increased signal associated with higher dosing and the reduced noise associated with the centralized rating will improve the probability of success in our ongoing Phase 3 trial.</w:t>
      </w:r>
    </w:p>
    <w:p>
      <w:pPr>
        <w:spacing w:after="0" w:line="37"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We continue to target enrollment of 450 patients in this randomized double blind placebo controlled trial and plan to conduct an interim analysis of the data when a sufficient number of patients have completed the study. We believe that the addition of a third party centralized rating service to independently evaluate patients for entry into the study will improve the consistency of rating across clinical trial sites and reduce the background noise that was illustrated in earlier studies and is endemic to many psychopharmacologic studies. However, it has also caused enrollment of this trial to ramp up more slowly than previously projected. Due to the relatively high cost of this program, length of the trial, and our current financial constraints, we are scaling back our planned rate of spending on this trial and extending the timeline for its completion.</w:t>
      </w:r>
    </w:p>
    <w:p>
      <w:pPr>
        <w:spacing w:after="0" w:line="39" w:lineRule="exact"/>
        <w:rPr>
          <w:sz w:val="20"/>
          <w:szCs w:val="20"/>
          <w:color w:val="auto"/>
        </w:rPr>
      </w:pPr>
    </w:p>
    <w:p>
      <w:pPr>
        <w:ind w:left="900" w:right="6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Cushing’s Syndrome. </w:t>
      </w:r>
      <w:r>
        <w:rPr>
          <w:rFonts w:ascii="Arial" w:cs="Arial" w:eastAsia="Arial" w:hAnsi="Arial"/>
          <w:sz w:val="16"/>
          <w:szCs w:val="16"/>
          <w:color w:val="auto"/>
        </w:rPr>
        <w:t>We are conducting a Phase 3 trial with CORLUX for the treatment of endogenous Cushing’s Syndrome. It is a disorder</w:t>
      </w:r>
      <w:r>
        <w:rPr>
          <w:rFonts w:ascii="Arial" w:cs="Arial" w:eastAsia="Arial" w:hAnsi="Arial"/>
          <w:sz w:val="16"/>
          <w:szCs w:val="16"/>
          <w:i w:val="1"/>
          <w:iCs w:val="1"/>
          <w:color w:val="auto"/>
        </w:rPr>
        <w:t xml:space="preserve"> </w:t>
      </w:r>
      <w:r>
        <w:rPr>
          <w:rFonts w:ascii="Arial" w:cs="Arial" w:eastAsia="Arial" w:hAnsi="Arial"/>
          <w:sz w:val="16"/>
          <w:szCs w:val="16"/>
          <w:color w:val="auto"/>
        </w:rPr>
        <w:t>caused by prolonged exposure of the body’s tissues to high levels of the hormone cortisol. Symptoms are variable, but most often include high blood sugar (“glucose intolerance”), high blood pressure, central obesity, muscle weakness and severe fatigue. Depression, anxiety, irritability and disordered thinking are also common. Current treatment depends on the specific reason for cortisol excess and may include surgery, radiation, chemotherapy or the use of drugs that prevent the body from producing cortisol.</w:t>
      </w:r>
    </w:p>
    <w:p>
      <w:pPr>
        <w:spacing w:after="0" w:line="35"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We estimate that there are at least 3,000 patients in active treatment for Cushing’s Syndrome though there may be many more patients who do not present for treatment due to the limited therapeutic options. CORLUX represents a potentially attractive treatment option with the potential for long-term oral dosing for this targeted patient population. The FDA has granted Orphan Drug Designation for CORLUX for the treatment of endogenous Cushing’s Syndrome. “Orphan” drugs receive seven years of marketing exclusivity from the date of approval, as well as tax credits for clinical trial costs, marketing application filing fee waivers and assistance from the FDA in the drug development process.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Investigational New Drug application (IND) for the evaluation of CORLUX for the treatment of Cushing’s Syndrome was opened in September 2007. The FDA has indicated that our single 50-patient open-label study, focused on improvement in glucose tolerance and blood pressure, as well as broader measures of patient outcomes, may provide a reasonable basis for the submission of a New Drug Application (NDA) for this indication. This trial was opened for enrollment late in December 2007. We are targeting completion of enrollment of this trial in the fourth quarter of 2009 and anticipate final data to be available in 2010.</w:t>
      </w:r>
    </w:p>
    <w:p>
      <w:pPr>
        <w:spacing w:after="0" w:line="35" w:lineRule="exact"/>
        <w:rPr>
          <w:sz w:val="20"/>
          <w:szCs w:val="20"/>
          <w:color w:val="auto"/>
        </w:rPr>
      </w:pPr>
    </w:p>
    <w:p>
      <w:pPr>
        <w:ind w:left="900" w:right="40" w:hanging="325"/>
        <w:spacing w:after="0" w:line="263"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Antipsychotic-induced Weight Gain Mitigation. </w:t>
      </w:r>
      <w:r>
        <w:rPr>
          <w:rFonts w:ascii="Arial" w:cs="Arial" w:eastAsia="Arial" w:hAnsi="Arial"/>
          <w:sz w:val="16"/>
          <w:szCs w:val="16"/>
          <w:color w:val="auto"/>
        </w:rPr>
        <w:t>We have conducted two clinical proof of concept studies with CORLUX, demonstrating in humans</w:t>
      </w:r>
      <w:r>
        <w:rPr>
          <w:rFonts w:ascii="Arial" w:cs="Arial" w:eastAsia="Arial" w:hAnsi="Arial"/>
          <w:sz w:val="16"/>
          <w:szCs w:val="16"/>
          <w:i w:val="1"/>
          <w:iCs w:val="1"/>
          <w:color w:val="auto"/>
        </w:rPr>
        <w:t xml:space="preserve"> </w:t>
      </w:r>
      <w:r>
        <w:rPr>
          <w:rFonts w:ascii="Arial" w:cs="Arial" w:eastAsia="Arial" w:hAnsi="Arial"/>
          <w:sz w:val="16"/>
          <w:szCs w:val="16"/>
          <w:color w:val="auto"/>
        </w:rPr>
        <w:t>the ability of the compound to mitigate weight gain associated with atypical antipsychotic medications. In June 2007, we announced results of our proof-of-concept study evaluating the ability of CORLUX to mitigate weight gain associated with the administration of Eli Lilly’s Zyprexa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(olanzapine). The results indicated a statistically significant reduction in weight gain in those subjects who took olanzapine plus CORLUX compared to those who took Zyprexa alone. The trial also demonstrated that CORLUX had a positive impact on secondary metabolic endpoints of fasting insulin, triglycerides and abdominal fat, as measured by waist circumference. Eli Lilly provided Zyprexa and financial support for this study. In January 2009, we announced preliminary results of a similar proof-of-concept study evaluating the ability of CORLUX to mitigate weight gain associated with the administration of Johnson &amp; Johnson’s Risperdal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(risperidone). The results from this study indicated a statistically significant reduction in weight gain in those subjects who took Risperdal plus CORLUX compared to those who took Risperdal alone.</w:t>
      </w:r>
    </w:p>
    <w:p>
      <w:pPr>
        <w:spacing w:after="0" w:line="43" w:lineRule="exact"/>
        <w:rPr>
          <w:sz w:val="20"/>
          <w:szCs w:val="20"/>
          <w:color w:val="auto"/>
        </w:rPr>
      </w:pPr>
    </w:p>
    <w:p>
      <w:pPr>
        <w:ind w:left="920" w:right="100"/>
        <w:spacing w:after="0" w:line="281" w:lineRule="auto"/>
        <w:rPr>
          <w:sz w:val="20"/>
          <w:szCs w:val="20"/>
          <w:color w:val="auto"/>
        </w:rPr>
      </w:pPr>
      <w:r>
        <w:rPr>
          <w:rFonts w:ascii="Arial" w:cs="Arial" w:eastAsia="Arial" w:hAnsi="Arial"/>
          <w:sz w:val="16"/>
          <w:szCs w:val="16"/>
          <w:color w:val="auto"/>
        </w:rPr>
        <w:t>The purpose of these studies was to explore the hypothesis that GR-II antagonists, such as CORLUX and our next generation of selective GR-II antagonists (now in preclinical evaluation), would mitigate weight gain associated with a broad range of atypical antipsychotic medications, such as</w:t>
      </w:r>
    </w:p>
    <w:p>
      <w:pPr>
        <w:spacing w:after="0" w:line="1" w:lineRule="exact"/>
        <w:rPr>
          <w:sz w:val="20"/>
          <w:szCs w:val="20"/>
          <w:color w:val="auto"/>
        </w:rPr>
      </w:pPr>
    </w:p>
    <w:p>
      <w:pPr>
        <w:ind w:left="920" w:right="480"/>
        <w:spacing w:after="0" w:line="230" w:lineRule="auto"/>
        <w:rPr>
          <w:sz w:val="20"/>
          <w:szCs w:val="20"/>
          <w:color w:val="auto"/>
        </w:rPr>
      </w:pPr>
      <w:r>
        <w:rPr>
          <w:rFonts w:ascii="Arial" w:cs="Arial" w:eastAsia="Arial" w:hAnsi="Arial"/>
          <w:sz w:val="18"/>
          <w:szCs w:val="18"/>
          <w:color w:val="auto"/>
        </w:rPr>
        <w:t>Zyprexa, Risperdal, Clozaril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(clozapine) and Seroquel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(quetiapine), which are widely used to treat schizophrenia and bipolar disorder. All medications in this group are associated with treatment emergent weight gain of varying degrees and carry warning labels relating to treatment emergent hyperglycemia and diabetes mellitus.</w:t>
      </w:r>
    </w:p>
    <w:p>
      <w:pPr>
        <w:spacing w:after="0" w:line="104"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We are evaluating our next-generation selective GR-II receptor antagonists for the mitigation of anti-psychotic induced weight gain. In September 2008 we announced the initiation of preclinical studies of CORT 108297, the lead compound in one of our three proprietary series of selective GR-II antagonists. These two studies were supported financially by Eli Lilly. We announced results from the trials in January 2009, which demonstrated that CORT 108297 has the potential to both reduce weight gain caused by olanzapine and to prevent weight gain caused by initiation of treatment with olanzapine in a rat model. We retain worldwide commercial rights to CORT 108297 as well as all additional compounds within the three series of GR-II selective antagonists that we have discovered.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to the above, we also own or have exclusively licensed issued patents and patent applications relating to the treatment of several disorders that we believe also result from, or are negatively affected by, prolonged exposure to elevated cortisol including but not limited to increasing the therapeutic response to electroconvulsive therapy (ECT), mild cognitive impairment, stress disorders and the treatment of delirium. We also have filed patent applications for additional diseases that may benefit from treatment with a drug that blocks the GR-II receptor.</w:t>
      </w:r>
    </w:p>
    <w:p>
      <w:pPr>
        <w:spacing w:after="0" w:line="140" w:lineRule="exact"/>
        <w:rPr>
          <w:sz w:val="20"/>
          <w:szCs w:val="20"/>
          <w:color w:val="auto"/>
        </w:rPr>
      </w:pPr>
    </w:p>
    <w:p>
      <w:pPr>
        <w:ind w:right="560" w:firstLine="456"/>
        <w:spacing w:after="0" w:line="221" w:lineRule="auto"/>
        <w:rPr>
          <w:sz w:val="20"/>
          <w:szCs w:val="20"/>
          <w:color w:val="auto"/>
        </w:rPr>
      </w:pPr>
      <w:r>
        <w:rPr>
          <w:rFonts w:ascii="Arial" w:cs="Arial" w:eastAsia="Arial" w:hAnsi="Arial"/>
          <w:sz w:val="18"/>
          <w:szCs w:val="18"/>
          <w:color w:val="auto"/>
        </w:rPr>
        <w:t>We were incorporated in the State of Delaware on May 13, 1998. Our registered trademarks include Corcept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CORLUX</w:t>
      </w:r>
      <w:r>
        <w:rPr>
          <w:rFonts w:ascii="Arial" w:cs="Arial" w:eastAsia="Arial" w:hAnsi="Arial"/>
          <w:sz w:val="22"/>
          <w:szCs w:val="22"/>
          <w:color w:val="auto"/>
          <w:vertAlign w:val="superscript"/>
        </w:rPr>
        <w:t>®</w:t>
      </w:r>
      <w:r>
        <w:rPr>
          <w:rFonts w:ascii="Arial" w:cs="Arial" w:eastAsia="Arial" w:hAnsi="Arial"/>
          <w:sz w:val="18"/>
          <w:szCs w:val="18"/>
          <w:color w:val="auto"/>
        </w:rPr>
        <w:t>. Other service marks, trademarks and trade names referred to in this document are the property of their respective owners.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Cortisol in Disease</w:t>
      </w:r>
    </w:p>
    <w:p>
      <w:pPr>
        <w:spacing w:after="0" w:line="9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Cortisol is a steroid hormone that plays a significant role in the way the body reacts to stressful conditions and is essential for survival. Cortisol significantly influences metabolism, exerts a clinically useful anti-</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inflammatory effect and contributes to emotional stability. Insufficient levels of cortisol may lead to dehydration, hypotension, shock, fatigue, low resistance to infection, trauma, stress and hypoglycemia. Excessive levels of cortisol may lead to edema, hypertension, fatigue and impaired glucose tolerance.</w:t>
      </w:r>
    </w:p>
    <w:p>
      <w:pPr>
        <w:spacing w:after="0" w:line="85"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Elevated levels and abnormal release patterns of cortisol have also been linked to a broad range of psychiatric and metabolic conditions, such as mood changes, psychosis and cognitive impairment. Cognition, including attention, concentration and memory, is impaired by elevated levels and abnormal release patterns of cortisol. Prolonged elevated levels of cortisol are neurotoxic and may accelerate the dementia process in patients with cognitive disorders such as Alzheimer’s disease.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studies have shown that patients with psychotic depression have elevated levels and abnormal release patterns of cortisol. This abnormal cortisol pattern is not usually present in patients with nonpsychotic depression. More than 20 years ago, one of our scientific co-founders postulated that elevated levels of cortisol in patients with psychotic depression lead to elevated levels of dopamine, an important chemical substance found in the brain. Elevated levels of dopamine have been implicated in both delusional thinking and hallucinations. This was a clinically relevant hypothesis because it led to the concept that antipsychotic medications, which act by blocking dopamine, in combination with antidepressant medications, could be useful in treating psychotic depression. The hypothesis also led to the concept that by regulating the level and release patterns of cortisol, one could normalize dopamine levels in the brain, which may, in turn, ameliorate the symptoms of psychotic depression. In addition to cortisol’s effect on dopamine levels, research has shown that prolonged elevated cortisol may also play a direct role in causing the symptoms of psychotic depression.</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challenge in regulating levels of cortisol, however, is that it is needed for natural processes in the human body. Destroying the ability of the body to make cortisol or to drastically reduce its presence would result in serious detrimental effects. To have a viable therapeutic effect, a compound must be able to selectively modulate cortisol effects.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Glucocorticoid Receptor Antagonists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Cortisol is produced by the adrenal glands and is carried via the bloodstream to the brain, where it directly influences neuronal function. In the brain, cortisol binds to two receptors, Glucocorticoid Receptor I and Glucocorticoid Receptor II, also known as GR-I and GR-II. GR-I is a high-affinity receptor that is involved in the routine functions of cortisol. It has approximately ten times the affinity of GR-II for cortisol and its binding sites are filled with cortisol nearly all the time. In general, GR-II binding sites do not fill until levels of cortisol become elevated. Short-term activation of GR-II has benefits, which include helping the individual to be more alert and better able to function under stressful conditions. Long-term activation of GR-II, however, has been shown to have significant toxicity and appears to be linked to multiple psychiatric and metabolic disease states, particularly psychotic depression. The action of cortisol can be moderated by the use of blockers, or antagonists, that prevent the binding of the hormone to its receptors. These antagonists, referred to as glucocorticoid receptor antagonists, may prevent the undesirable effects of elevated levels and abnormal release patterns of cortisol.</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discovery that the brain has high affinity and low affinity receptors for cortisol was critical to our scientific approach in treating the psychosis manifested by patients with psychotic depression because it allowed for a specific target for a potential medication. CORLUX, also known as mifepristone, works by selectively blocking the binding of cortisol to GR-II; CORLUX is neither an antagonist nor agonist of GR-I. Because of its selective affinity, we believe that CORLUX can have a therapeutic benefit by modulating the effects of abnormal levels and release patterns of cortisol without compromising the necessary normal functions of cortisol. We have also discovered three series of compounds, one of which includes our lead candidate CORT 108297, which, like CORLUX, potently block the GR-II receptor, but, unlike CORLUX, do not block the progesterone receptor.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Psychotic Depression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Psychotic depression is a serious psychiatric disease in which a patient suffers from severe depression accompanied by delusions, hallucinations or both. These psychotic features typically develop after the onset of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depressed mood, but may develop concurrently as well. Once psychotic symptoms occur, they usually reappear with each subsequent depressive episode. Of particular importance, when the patient’s mood returns to normal the psychosis also resolves.</w:t>
      </w:r>
    </w:p>
    <w:p>
      <w:pPr>
        <w:spacing w:after="0" w:line="132" w:lineRule="exact"/>
        <w:rPr>
          <w:sz w:val="20"/>
          <w:szCs w:val="20"/>
          <w:color w:val="auto"/>
        </w:rPr>
      </w:pPr>
    </w:p>
    <w:p>
      <w:pPr>
        <w:ind w:right="600" w:firstLine="456"/>
        <w:spacing w:after="0" w:line="256" w:lineRule="auto"/>
        <w:rPr>
          <w:sz w:val="20"/>
          <w:szCs w:val="20"/>
          <w:color w:val="auto"/>
        </w:rPr>
      </w:pPr>
      <w:r>
        <w:rPr>
          <w:rFonts w:ascii="Arial" w:cs="Arial" w:eastAsia="Arial" w:hAnsi="Arial"/>
          <w:sz w:val="18"/>
          <w:szCs w:val="18"/>
          <w:color w:val="auto"/>
        </w:rPr>
        <w:t>Psychotic depression is not a simple combination of psychosis and depression, but rather a complex interaction between a predisposition to become psychotic and a predisposition to become severely depressed. In addition to psychosis, clinical features and outcomes that distinguish psychotic from nonpsychotic depression include elevated levels and abnormal release patterns of cortisol, motor abnormalities, a substantially higher suicide rate, more prominent sleep abnormalities and more potential for brain injury.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Data from the National Institutes of Mental Health published in 2005 indicate that depressive disorders affect an estimated 9.5% of adults in the United States, or about 19 million people each year. Of these 19 million people, many published studies show that approximately 15-20%, or about three million people, have psychotic depression. Most patients with psychotic depression suffer their first episode of major depression between the ages of 30 and 40 and the majority will experience more than one episode in their lifetime. Psychotic depression is more prevalent than either schizophrenia or bipolar I disorder. Psychotic depression is characterized by severe depression accompanied by psychosis (delusions and/or hallucinations). People with psychotic depression are approximately 70 times more likely to commit suicide in their lifetime than the general population and often require lengthy and expensive hospital stays.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people afflicted with psychotic depression are, as a group, under-recognized and undertreated because of:</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reluctance on the part of patients with psychotic depression to accurately report their psychotic symptoms;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misdiagnosis of the disease by primary care physicians;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reluctance of patients and their families to be associated with the stigma of hospitalization for psychiatric care;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side effects associated with current treatments for psychotic depression.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Treatments for Psychotic Depression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are two treatment approaches for psychotic depression currently used by psychiatrists: ECT and combination drug therapy. Neither of these treatments has been approved by the FDA for psychotic depression and both approaches almost always have slow onsets of action and debilitating side effects. Of the two treatments, ECT is generally considered to be more effective.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ECT involves passing an electrical current through the brain until the patient has a seizure. At least 100,000 patients receive ECT each year in the United States, with each patient requiring approximately six to twelve procedures over a period of three to five weeks. ECT is administered while the patient is under general anesthesia and the procedure requires the use of an operating room, as well as the participation of a psychiatrist, an anesthesiologist and a nurse. General anesthesia and paralytic agents are necessary to avoid fractures of the spine that otherwise could result from the seizures caused by ECT. Although ECT provides a reduction in depressive and psychotic symptoms, the procedure can result in cognitive impairment, including permanent memory loss, cardiovascular complications, headache, muscle ache and nausea, in addition to complications related to general anesthesia.</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Combination drug therapy is an alternative treatment for psychotic depression that involves taking antipsychotic drugs such as olanzapine, haloperidol or chlorpromazine in combination with antidepressant medication. Patients on combination drug therapy often require three weeks or more to show improvement in their symptoms and treatment can take months to complete. Antipsychotic drugs can cause significant adverse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side effects, including weight gain, diabetes, sedation, permanent movement disorders and sexual dysfunction.</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Because a therapeutic response to ECT and combination drug therapy does not occur for several weeks, neither approach prevents lengthy and expensive hospital stays in patients who are seriously ill. Consequently, a significant need exists for a medication that provides rapid relief from the psychotic symptoms of psychotic depression, as such a medication would substantially reduce the length of suffering and expenses associated with the illness and its treatment. We believe that people suffering from psychotic depression would prefer a treatment that did not involve the risks of anesthesia, adverse side effects and stigma associated with ECT or the slow onset of action associated with both ECT and combination drug therapy. If an alternative treatment was approved by the FDA and had secured third-party reimbursement, we believe that many patients with psychotic depression would choose that alternative.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CORLUX for the Psychotic Features of Psychotic Depression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CORLUX is an oral medication that we are developing to treat the psychotic features of psychotic depression. CORLUX is a GR-II antagonist that appears to mitigate the effects of the elevated and abnormal release patterns of cortisol in patients suffering from psychotic depression. We intend CORLUX to be a once-daily treatment given to patients with psychotic depression over 7 consecutive days in a controlled setting, such as a hospital or physician’s office. Mifepristone, the active ingredient in CORLUX, in addition to blocking GR-II, blocks the progesterone receptor and has been approved by the FDA for termination of early pregnancy.</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CORLUX may significantly reduce psychotic symptoms of psychotic depression in many patients within one week and allow patients to be more easily maintained on antidepressant therapy alone without the need for ECT or antipsychotic medication. We believe that CORLUX may be superior to currently available treatments because we believe that CORLUX will enable patients with psychotic depression to improve their quality of life more quickly and with fewer side effects than with ECT or combination drug therapy.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CORLUX for Psychotic Depression Clinical Trials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completed seven clinical trials evaluating CORLUX in psychotic depression, in addition to our ongoing Phase 3 trial. The trials include three Phase 3 trials conducted from 2004 through 2007, in addition to four earlier stage clinical trials with CORLUX. These completed trials generated important data confirming the safety profile of CORLUX (alone and in combination with commonly prescribed antipsychotic and antidepressant medications), demonstrating positive efficacy trends, and providing insights into the design of future clinical trials which might improve the probability of clinical success.</w:t>
      </w:r>
    </w:p>
    <w:p>
      <w:pPr>
        <w:spacing w:after="0" w:line="11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i w:val="1"/>
          <w:iCs w:val="1"/>
          <w:color w:val="auto"/>
        </w:rPr>
        <w:t>Psychiatric Rating Scales</w:t>
      </w:r>
      <w:r>
        <w:rPr>
          <w:rFonts w:ascii="Arial" w:cs="Arial" w:eastAsia="Arial" w:hAnsi="Arial"/>
          <w:sz w:val="18"/>
          <w:szCs w:val="18"/>
          <w:color w:val="auto"/>
        </w:rPr>
        <w:t>. In our clinical trials, we assess the efficacy of CORLUX utilizing psychiatric rating scales commonly used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approval of new antipsychotic and antidepressant medications. These scales include the:</w:t>
      </w:r>
    </w:p>
    <w:p>
      <w:pPr>
        <w:spacing w:after="0" w:line="51" w:lineRule="exact"/>
        <w:rPr>
          <w:sz w:val="20"/>
          <w:szCs w:val="20"/>
          <w:color w:val="auto"/>
        </w:rPr>
      </w:pPr>
    </w:p>
    <w:p>
      <w:pPr>
        <w:ind w:left="900" w:right="2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BPRS: The Brief Psychiatric Rating Scale (BPRS) is an 18-item instrument to assess psychopathology. It incorporates a range of psychiatric symptoms, including anxiety, depression, guilt, hostility and suicidality. Each of the 18 symptoms is scored on a numeric scale ranging from 1 (not present) to 7 (extremely severe).</w:t>
      </w:r>
    </w:p>
    <w:p>
      <w:pPr>
        <w:spacing w:after="0" w:line="59"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BPRS Positive Symptom Subscale (BPRS PSS): This subscale, which is based on four items of the BPRS, assesses a patient’s psychotic features by measuring the patient’s conceptual disorganization, suspiciousness, hallucinatory behavior and unusual thought content.</w:t>
      </w:r>
    </w:p>
    <w:p>
      <w:pPr>
        <w:spacing w:after="0" w:line="4"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HAM-D: The Hamilton Depression Scale (HAM-D) is a 24-item instrument designed to measure the severity of a number of depressive symptoms such as insomnia, depressed mood, concentration, ability to experience pleasure, and agitation. Each question has 3 to 5 possible responses, with associated scores ranging from 0 to 4. The total score is calculated from all items.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Phase 1 and 2 Trials. </w:t>
      </w:r>
      <w:r>
        <w:rPr>
          <w:rFonts w:ascii="Arial" w:cs="Arial" w:eastAsia="Arial" w:hAnsi="Arial"/>
          <w:sz w:val="18"/>
          <w:szCs w:val="18"/>
          <w:color w:val="auto"/>
        </w:rPr>
        <w:t>We completed four earlier-stage trials evaluating safety and efficacy of CORLUX alone, in combination with other commonly used</w:t>
      </w:r>
      <w:r>
        <w:rPr>
          <w:rFonts w:ascii="Arial" w:cs="Arial" w:eastAsia="Arial" w:hAnsi="Arial"/>
          <w:sz w:val="18"/>
          <w:szCs w:val="18"/>
          <w:i w:val="1"/>
          <w:iCs w:val="1"/>
          <w:color w:val="auto"/>
        </w:rPr>
        <w:t xml:space="preserve"> </w:t>
      </w:r>
      <w:r>
        <w:rPr>
          <w:rFonts w:ascii="Arial" w:cs="Arial" w:eastAsia="Arial" w:hAnsi="Arial"/>
          <w:sz w:val="18"/>
          <w:szCs w:val="18"/>
          <w:color w:val="auto"/>
        </w:rPr>
        <w:t>antipsychotics and antidepressants and in retreatment.</w:t>
      </w:r>
    </w:p>
    <w:p>
      <w:pPr>
        <w:spacing w:after="0" w:line="51" w:lineRule="exact"/>
        <w:rPr>
          <w:sz w:val="20"/>
          <w:szCs w:val="20"/>
          <w:color w:val="auto"/>
        </w:rPr>
      </w:pPr>
    </w:p>
    <w:p>
      <w:pPr>
        <w:ind w:left="900" w:right="14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Dose Finding Study: In January 2001, we completed our first trial (Study 01), an open label dose finding clinical trial with 30 evaluable patients studying efficacy, tolerability and dose response of CORLUX for the treatment of the psychotic features of psychotic depression. After one week of treatment, approximately two-thirds of the patients in the two higher dosage groups experienced clinically meaningful reductions in psychosis, as measured by the BPRS PSS. A clinically meaningful reduction in psychosis represents a reduction of symptoms that are readily recognizable by patients and physicians.</w:t>
      </w:r>
    </w:p>
    <w:p>
      <w:pPr>
        <w:spacing w:after="0" w:line="61" w:lineRule="exact"/>
        <w:rPr>
          <w:rFonts w:ascii="Arial" w:cs="Arial" w:eastAsia="Arial" w:hAnsi="Arial"/>
          <w:sz w:val="18"/>
          <w:szCs w:val="18"/>
          <w:color w:val="auto"/>
        </w:rPr>
      </w:pPr>
    </w:p>
    <w:p>
      <w:pPr>
        <w:ind w:left="900" w:right="14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2 Studies: Later in 2001, we conducted two additional clinical trials evaluating the safety and efficacy of CORLUX for the treatment of the psychotic features of psychotic depression. These two trials, Study 02 and Study 03, were double-blind, placebo-controlled, safety and efficacy studies each with approximately 200 patients. Both studies were designed and powered to test the hypothesis that the group of patients treated with CORLUX would be superior to the control group in achieving a rapid (within 7 days) and sustained (to 28 days) reduction in their BPRS score of at least 30%.</w:t>
      </w:r>
    </w:p>
    <w:p>
      <w:pPr>
        <w:spacing w:after="0" w:line="62" w:lineRule="exact"/>
        <w:rPr>
          <w:sz w:val="20"/>
          <w:szCs w:val="20"/>
          <w:color w:val="auto"/>
        </w:rPr>
      </w:pPr>
    </w:p>
    <w:p>
      <w:pPr>
        <w:jc w:val="both"/>
        <w:ind w:left="920"/>
        <w:spacing w:after="0" w:line="335" w:lineRule="auto"/>
        <w:rPr>
          <w:sz w:val="20"/>
          <w:szCs w:val="20"/>
          <w:color w:val="auto"/>
        </w:rPr>
      </w:pPr>
      <w:r>
        <w:rPr>
          <w:rFonts w:ascii="Arial" w:cs="Arial" w:eastAsia="Arial" w:hAnsi="Arial"/>
          <w:sz w:val="15"/>
          <w:szCs w:val="15"/>
          <w:color w:val="auto"/>
        </w:rPr>
        <w:t>In Study 02 patients were allowed to receive any antipsychotic or antidepressant medications deemed appropriate by their treating physicians prior to entry into the study and throughout the week of administration of the study drugs. This study showed that CORLUX was well tolerated and that there were no discernable problems with drug interactions between CORLUX and commonly prescribed antipsychotic and antidepressant medications.</w:t>
      </w:r>
    </w:p>
    <w:p>
      <w:pPr>
        <w:spacing w:after="0" w:line="7" w:lineRule="exact"/>
        <w:rPr>
          <w:sz w:val="20"/>
          <w:szCs w:val="20"/>
          <w:color w:val="auto"/>
        </w:rPr>
      </w:pPr>
    </w:p>
    <w:p>
      <w:pPr>
        <w:ind w:left="920" w:right="20"/>
        <w:spacing w:after="0" w:line="302" w:lineRule="auto"/>
        <w:rPr>
          <w:sz w:val="20"/>
          <w:szCs w:val="20"/>
          <w:color w:val="auto"/>
        </w:rPr>
      </w:pPr>
      <w:r>
        <w:rPr>
          <w:rFonts w:ascii="Arial" w:cs="Arial" w:eastAsia="Arial" w:hAnsi="Arial"/>
          <w:sz w:val="15"/>
          <w:szCs w:val="15"/>
          <w:color w:val="auto"/>
        </w:rPr>
        <w:t>In Study 03 patients were not allowed to receive any antipsychotic or antidepressant medication for at least 7 days prior to administration of the study drug or during the week of study drug administration. This study demonstrated with statistical significance that patients in the CORLUX group were more likely to achieve a rapid and sustained reduction in psychotic symptoms than patients in the control group, as measured by a 30% reduction in the BPRS at 7 days sustained to 28 days (p value = 0.01) and a 50% reduction in the BPRS PSS at 7 days sustained to 28 days (p value</w:t>
      </w:r>
    </w:p>
    <w:p>
      <w:pPr>
        <w:spacing w:after="0" w:line="3" w:lineRule="exact"/>
        <w:rPr>
          <w:sz w:val="20"/>
          <w:szCs w:val="20"/>
          <w:color w:val="auto"/>
        </w:rPr>
      </w:pPr>
    </w:p>
    <w:p>
      <w:pPr>
        <w:ind w:left="920" w:firstLine="1"/>
        <w:spacing w:after="0" w:line="261" w:lineRule="auto"/>
        <w:tabs>
          <w:tab w:leader="none" w:pos="10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0.01). The term “p value” is a statistical term that indicates the probability that an observed result is random. A p value of 0.05 or less is considered statistically significant.</w:t>
      </w:r>
    </w:p>
    <w:p>
      <w:pPr>
        <w:spacing w:after="0" w:line="56"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Retreatment Study: In our fourth trial, we evaluated the safety of retreatment in patients with a favorable response to treatment in Study 02 and Study 03, and our analysis indicates that patients tolerated their retreatment well.</w:t>
      </w:r>
    </w:p>
    <w:p>
      <w:pPr>
        <w:spacing w:after="0" w:line="132"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Phase 3 Clinical Trials</w:t>
      </w:r>
      <w:r>
        <w:rPr>
          <w:rFonts w:ascii="Arial" w:cs="Arial" w:eastAsia="Arial" w:hAnsi="Arial"/>
          <w:sz w:val="15"/>
          <w:szCs w:val="15"/>
          <w:color w:val="auto"/>
        </w:rPr>
        <w:t>. We have completed three randomized, double-blind, placebo-controlled Phase 3 clinical trials to further assess the safety and</w:t>
      </w:r>
      <w:r>
        <w:rPr>
          <w:rFonts w:ascii="Arial" w:cs="Arial" w:eastAsia="Arial" w:hAnsi="Arial"/>
          <w:sz w:val="15"/>
          <w:szCs w:val="15"/>
          <w:i w:val="1"/>
          <w:iCs w:val="1"/>
          <w:color w:val="auto"/>
        </w:rPr>
        <w:t xml:space="preserve"> </w:t>
      </w:r>
      <w:r>
        <w:rPr>
          <w:rFonts w:ascii="Arial" w:cs="Arial" w:eastAsia="Arial" w:hAnsi="Arial"/>
          <w:sz w:val="15"/>
          <w:szCs w:val="15"/>
          <w:color w:val="auto"/>
        </w:rPr>
        <w:t>efficacy of CORLUX for the treatment of the psychotic features of psychotic depression. Two of these trials (Study 06 and Study 07) were conducted primarily in the United States. The third trial (Study 09) was conducted in Eastern Europe. The design of all three trials was based on the design of Study 03, described above.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endpoint for Study 06 and Study 07 was the proportion of patients with at least a 50% improvement in the BPRS PSS at both Day 7 and Day</w:t>
      </w:r>
    </w:p>
    <w:p>
      <w:pPr>
        <w:spacing w:after="0" w:line="38" w:lineRule="exact"/>
        <w:rPr>
          <w:sz w:val="20"/>
          <w:szCs w:val="20"/>
          <w:color w:val="auto"/>
        </w:rPr>
      </w:pPr>
    </w:p>
    <w:p>
      <w:pPr>
        <w:ind w:right="60" w:firstLine="8"/>
        <w:spacing w:after="0" w:line="254" w:lineRule="auto"/>
        <w:tabs>
          <w:tab w:leader="none" w:pos="2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type of endpoint is known as a categorical endpoint. Patients must have had at least mild psychotic symptoms (BPRS PSS ³ 12) to enter the studies and were hospitalized if clinically necessary. BPRS PSS assessments were also made at Days 14, 28 and 42. The primary endpoint for Study 09 was the proportion of patients with at least a 50% improvement in the BPRS PSS at both Day 7 and Day 28. A secondary endpoint of Study 09 was the same as the primary endpoint for Study 06 and Study 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Study 07</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first of these trials, Study 07, which began in September 2004, enrolled 257 patients at 25 sites in the United States and Europe randomized one-to-one to either treatment or placebo. Patients in the treatment arm received 600 mg of CORLUX once daily for a period of seven days. Patients did not take any antidepressant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antipsychotic medication for at least one week before beginning the seven day treatment period. After the seven days of CORLUX treatment, all patients received antidepressant therapy through Day 56. Treatment with antipsychotic medications or ECT was not allowed at any time during the study.</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August 2006 we announced the results of Study 07. In this study 30.5% of the patients receiving CORLUX and 28.6% of the patients receiving placebo met the primary endpoint. This was not a statistically significant difference in response rate. The two key secondary endpoints of Study 07 also did not achieve statistical significance. There was an unusually high placebo response rate in this trial. At Day 56, for example, approximately 80% of the patients in both of the arms of the study had at least a 50% improvement in BPRS PSS score.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Even though Study 07 did not meet its primary endpoint, an exploratory analysis of the data from this clinical trial revealed some items that were useful in the design of additional trials of CORLUX for the treatment of psychotic depression, including the fact that patients with higher plasma levels of CORLUX showed greater improvement than patients who took placebo. Patients with CORLUX plasma levels higher than 1661 nanograms per milliliter on Day 7 had statistically significant greater response rates observed than did patients who received placebo.</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 finding in Study 07 that was instructive for future trials was a statistically significant site by treatment effect. A site by treatment analysis is conducted for all clinical trials to know if the results seen at one site are generalizable to patients seen at another site. A statistically significant site by treatment effect indicates that the effect of treatment with a drug is not uniform at the various clinical sites participating in the clinical trial and it is not possible to know which sites represent the true activity of the drug.</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Another important finding in Study 07 was that results were not consistent across patients enrolled in the trial, depending on where and when they were enrolled. An analysis of the results of the first 150 patients, enrolled before additional sites and promotional activities were added, revealed a statistically significant difference on the primary endpoint favoring patients who took CORLUX compared to those who did not. Most of the clinical sites enrolling patients during this time had participated in Study 02 and Study 03.</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sites that had enrolled the first 150 patients continued enrolling patients until the trial was fully enrolled at the end of April 2006. By the end of the study this group of sites had enrolled a total of 215 patients, approximately the same total number of patients enrolled in Study 03. The primary endpoint was also met with statistical significance with these 215 patients. The eight additional sites that we added after January 1, 2006, to increase the speed of enrollment had not participated previously in clinical trials sponsored by Corcept. In the group of 42 patients enrolled by those sites, those who took placebo had a substantially higher response rate on the primary endpoint than those who took CORLUX. The disparate outcome between the group of 215 patients and the group of 42 patients resulted in a statistically significant site by treatment effect.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Study 09</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Study 09 was a randomized, double-blind, placebo-controlled study in which 247 patients were enrolled at 17 sites. The primary endpoint, a responder analysis, was the proportion of patients with at least a 50% improvement in the BPRS PSS score at both Day 7 and Day 28. We announced the results of this study in September 2006. The study did not demonstrate a significant difference in response between patients receiving CORLUX and patients receiving placebo as measured by the primary endpoint. The results at the two key secondary endpoints of Study 09 also were not statistically significant. Study 09 had an extremely high placebo response rate; the magnitude of which was unprecedented. At Day 56, for example, approximately 95% of the patients in both of the arms of the study were responders as measured by a 50 percent improvement in BPRS PSS score. Although the study did not meet the primary or a key secondary endpoints, it is interesting to note that there was a statistically significant difference between the CORLUX group and the placebo group based on the change from baseline to Day 56 on the BPRS PSS scale. Change from baseline to study end is an endpoint commonly used to measure the efficacy of antipsychotic and antidepressant medications. However, because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already high degree of response in the comparator group, it is difficult to determine how much additional clinical utility is conferred by this finding.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Study 06</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Study 06, which began in October 2004, enrolled 443 patients at 45 sites in the United States and Europe. These patients were randomly assigned to three active dose groups (300 mg, 600 mg and 1200 mg) or a placebo group, with patients receiving once daily dosing for a period of seven days. The three dosing levels responded to the FDA’s request to supplement data on a range of doses to augment the data provided by our open label dose ranging study completed in 2001. Patients in the study did not take any antidepressant and antipsychotic medication for at least one week before the seven day treatment period and received antidepressant therapy starting on Day 1 through Day 56. As with Study 07, treatment with antipsychotic medications or electroconvulsive therapy was not allowed at any time during this study.</w:t>
      </w:r>
    </w:p>
    <w:p>
      <w:pPr>
        <w:spacing w:after="0" w:line="12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reported the initial results of this trial in March 2007. The study did not achieve statistical significance with respect to the primary endpoint. However, there was a statistically significant correlation between plasma levels and clinical outcome achieved during treatment. Response rates for patients whose plasma levels rose above a predetermined threshold were statistically different than those patients whose plasma levels were below the threshold and those patients who received placebo. In particular, those patients in Study 06 who achieved a predetermined concentration of CORLUX in their plasma separated from the placebo group with statistical significance. At substantially lower plasma levels of CORLUX, there was no distinguishable difference in response rates between patients who received CORLUX and those receiving placebo. This study confirms our previous post hoc finding in Study 07 that at higher plasma levels the drug candidate is able to demonstrate substantially greater clinical response than the placebo group. Further, the incidence of serious adverse events did not differ between placebo and any of the three CORLUX dose groups.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Fourth Phase 3 trial – Study 14</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that the confirmation of a correlation between drug concentration and clinical response, as well as other observations from Study 06 and our two other completed Phase 3 clinical trials, served as a strong basis for the design of our ongoing Phase 3 study, which commenced in March 2008. The protocol for this trial incorporates the learnings from the three completed Phase 3 trials in that it addresses the established relationship between increased drug plasma levels and clinical response, and it attempts to decrease the random variability observed in the results of the psychometric instruments used to confirm diagnosis and measure efficacy. We met with the FDA to discuss and seek their input concerning the design of this trial.</w:t>
      </w:r>
    </w:p>
    <w:p>
      <w:pPr>
        <w:spacing w:after="0" w:line="35" w:lineRule="exact"/>
        <w:rPr>
          <w:sz w:val="20"/>
          <w:szCs w:val="20"/>
          <w:color w:val="auto"/>
        </w:rPr>
      </w:pPr>
    </w:p>
    <w:p>
      <w:pPr>
        <w:ind w:left="900" w:hanging="325"/>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Signal: In this trial we are administering a CORLUX dose of 1200 mg once per day for seven days instead of 600 mg once per day for seven days because in Study 06, as expected, at this dose more patients achieved the threshold plasma concentration. In Study 06, 81% of the patients who took 1200 mg of CORLUX achieved a drug plasma level sufficient to separate responders from non-responders.</w:t>
      </w:r>
    </w:p>
    <w:p>
      <w:pPr>
        <w:spacing w:after="0" w:line="25" w:lineRule="exact"/>
        <w:rPr>
          <w:rFonts w:ascii="Arial" w:cs="Arial" w:eastAsia="Arial" w:hAnsi="Arial"/>
          <w:sz w:val="16"/>
          <w:szCs w:val="16"/>
          <w:color w:val="auto"/>
        </w:rPr>
      </w:pPr>
    </w:p>
    <w:p>
      <w:pPr>
        <w:ind w:left="900" w:right="6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“Noise”: We also are utilizing a third party centralized rating service to independently evaluate the patient’s diagnosis prior to entry into the study as well as to assess response. We believe the centralization of this process will improve the accuracy of diagnosis and the consistency of rating across clinical trial sites and reduce the background noise that is endemic to many psychopharmacologic studies and clearly visible in our earlier studies.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that these changes in the protocol should allow us to establish the efficacy of CORLUX in the treatment of the psychotic features of psychotic depression. Given the serious nature of psychotic depression, the lack of any approved drugs for the disorder and the data from our first clinical trial, the FDA granted a fast track designation for CORLUX for the treatment of the psychotic features of psychotic depression. In addition, the FDA has indicated that CORLUX will receive a priority review if no other treatment is approved for psychotic depression at the time we submit our NDA.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Additional Trials and Pre-clinical Studies</w:t>
      </w:r>
      <w:r>
        <w:rPr>
          <w:rFonts w:ascii="Arial" w:cs="Arial" w:eastAsia="Arial" w:hAnsi="Arial"/>
          <w:sz w:val="18"/>
          <w:szCs w:val="18"/>
          <w:color w:val="auto"/>
        </w:rPr>
        <w:t>. In support of an eventual NDA submission, we plan to conduct additional clinical trials to assess the safety of</w:t>
      </w:r>
      <w:r>
        <w:rPr>
          <w:rFonts w:ascii="Arial" w:cs="Arial" w:eastAsia="Arial" w:hAnsi="Arial"/>
          <w:sz w:val="18"/>
          <w:szCs w:val="18"/>
          <w:i w:val="1"/>
          <w:iCs w:val="1"/>
          <w:color w:val="auto"/>
        </w:rPr>
        <w:t xml:space="preserve"> </w:t>
      </w:r>
      <w:r>
        <w:rPr>
          <w:rFonts w:ascii="Arial" w:cs="Arial" w:eastAsia="Arial" w:hAnsi="Arial"/>
          <w:sz w:val="18"/>
          <w:szCs w:val="18"/>
          <w:color w:val="auto"/>
        </w:rPr>
        <w:t>retreatment of patients with CORLUX. We also plan to conduct several small trials to evaluate how the drug acts on the human body, how the human body acts on the drug and the drug’s safety. In addition to our clinical trials, we have completed a standard 12-month toxicology study in dogs and a carcinogenicity study in rats. Two additional carcinogenicity studies in mice have been completed. These studies are designed to meet FDA requirements and the guidelines of an international regulatory body called the International Conference on Harmonisation of Technical Requirements for Registration of Pharmaceuticals for Human Use.</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Clinical Trial Agreement</w:t>
      </w:r>
      <w:r>
        <w:rPr>
          <w:rFonts w:ascii="Arial" w:cs="Arial" w:eastAsia="Arial" w:hAnsi="Arial"/>
          <w:sz w:val="16"/>
          <w:szCs w:val="16"/>
          <w:color w:val="auto"/>
        </w:rPr>
        <w:t>s. Many of our Phase 3 clinical trials are conducted through the use of clinical research organizations (CROs.) At our request,</w:t>
      </w:r>
      <w:r>
        <w:rPr>
          <w:rFonts w:ascii="Arial" w:cs="Arial" w:eastAsia="Arial" w:hAnsi="Arial"/>
          <w:sz w:val="16"/>
          <w:szCs w:val="16"/>
          <w:i w:val="1"/>
          <w:iCs w:val="1"/>
          <w:color w:val="auto"/>
        </w:rPr>
        <w:t xml:space="preserve"> </w:t>
      </w:r>
      <w:r>
        <w:rPr>
          <w:rFonts w:ascii="Arial" w:cs="Arial" w:eastAsia="Arial" w:hAnsi="Arial"/>
          <w:sz w:val="16"/>
          <w:szCs w:val="16"/>
          <w:color w:val="auto"/>
        </w:rPr>
        <w:t>these organizations oversee clinical trials at various institutions to test the safety and efficacy of our product candidates for the targeted indications. Our ongoing Phase 3 clinical trial, Study 14, evaluating CORLUX for the treatment of the psychotic features of psychotic depression is being conducted under an agreement with ICON Clinical Research, LP (ICON). This agreement may be terminated by Corcept with 60 days notice to ICON, or sooner based on mutual agreement of the parties. In addition, we entered into an agreement with MedAvante, Inc., in March 2008, to provide the centralized psychiatric diagnosis and rating services for patients being screened and enrolled in Study 14. This agreement may be terminated by Corcept with 30 days notice to MedAvante.</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previous three Phase 3 trials for CORLUX for this indication were conducted under clinical development agreements with other CROs that will be responsible for the completion of final reporting under these trials.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CORLUX for Cushing’s Syndrome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Cushing’s Syndrome. </w:t>
      </w:r>
      <w:r>
        <w:rPr>
          <w:rFonts w:ascii="Arial" w:cs="Arial" w:eastAsia="Arial" w:hAnsi="Arial"/>
          <w:sz w:val="18"/>
          <w:szCs w:val="18"/>
          <w:color w:val="auto"/>
        </w:rPr>
        <w:t>We are conducting a Phase 3 trial with CORLUX for the treatment of endogenous Cushing’s Syndrome. It is a disorder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prolonged exposure of the body’s tissues to high levels of the hormone cortisol. Symptoms are variable, but most often include high blood sugar (“glucose intolerance”), high blood pressure, central obesity, muscle weakness and severe fatigue. Depression, anxiety, irritability and disordered thinking are also common. Current treatment depends on the specific reason for cortisol excess and may include surgery, radiation, chemotherapy or the use of drugs that prevent the body from producing cortisol.</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estimate that there are at least 3,000 patients in active treatment for Cushing’s Syndrome though there may be many more patients who do not present for treatment due to the limited therapeutic. CORLUX represents a potentially attractive treatment option with the potential for long-term oral dosing for this targeted patient population. The FDA has granted Orphan Drug Designation for CORLUX for the treatment of endogenous Cushing’s Syndrome. “Orphan” drugs receive seven years of marketing exclusivity from the date of approval, as well as tax credits for clinical trial costs, marketing application filing fee waivers and assistance from the FDA in the drug development process.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Investigational IND for the evaluation of CORLUX for the treatment of Cushing’s Syndrome was opened in September 2007. The FDA has indicated that our single 50-patient open-label study, focused on improvement in glucose tolerance and blood pressure, as well as broader measures of patient outcomes, may provide a reasonable basis for the submission of an NDA for this indication. This trial was opened for enrollment late in December 2007. We are targeting completion of enrollment of this trial in the fourth quarter 2009 and anticipate final data to be available in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CORLUX for Other Metabolic Disorders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2007, we announced results of our proof-of-concept study evaluating the ability of CORLUX to mitigate weight gain associated with the</w:t>
      </w:r>
    </w:p>
    <w:p>
      <w:pPr>
        <w:spacing w:after="0" w:line="46"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administration of Lilly’s Zyprexa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(olanzapine). The results indicated a statistically significant reduction in weight gain in those subjects who took Zyprexa plus CORLUX compared 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those who took Zyprexa alone. Eli Lilly provided Zyprexa and financial support for this study. In January 2009, we announced preliminary top-line results from another proof-of-concept study evaluating the ability of CORLUX to mitigate weight gain associated with the administration of Johnson &amp; Johnson’s Risperdal (risperidone). The results indicated a statistically significant reduction in weight gain in those subjects who took Risperdal plus CORLUX compared to those who took Risperdal alone. Both Zyprexa and Risperdal are indicated for the treatment of schizophrenia and bipolar disorder.</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study of CORLUX and Zyprexa, 57 lean, healthy men (body mass index of 25 or less) were randomized to receive either Zyprexa plus placebo (n=22), Zyprexa plus CORLUX (n=24) or CORLUX plus placebo (n=11). This study took place in an institutional setting where daily weights were recorded and a range of metabolic parameters were measured. In the two week study, subjects in the Zyprexa alone group gained an average of 2.5 pounds more than subjects in the Zyprexa plus CORLUX group and 2.2 pounds more than subjects in the CORLUX alone group, which are highly statistically significant differences (p&lt;.001). The difference in weight gain trajectory was apparent in the first days of the study, reaching statistical significance during the first week. The increase in waist circumference, a surrogate for abdominal fat, in subjects who received Zyprexa alone was also significantly greater than subjects who received Zyprexa plus CORLUX (p&lt;.01). The study was not designed to have statistical power to detect significant effects on metabolic measures, including waist circumference; however, notable additional non-statistically significant group differences were observed. Patients taking Zyprexa plus placebo experienced greater increases from baseline to end of study in both triglycerides and fasting insulin compared to patients taking Zyprexa plus CORLUX. No unexpected study drug related adverse events were observed.</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study of CORLUX and Risperdal, 75 lean, healthy men (body mass index of 23 or less) were randomized to receive either Risperdal plus placebo (n=30), Risperdal plus CORLUX (n=30) or CORLUX plus placebo (n=15). This study also took place in an institutional setting where daily weights were recorded and a range of metabolic parameters were measured. In this four-week randomized double-blind controlled study, subjects in the Risperdal alone group gained an average of 9.2 pounds, compared to a gain of 5.1 pounds in the Risperdal plus CORLUX group. This difference was highly statistically significant (p&lt;0.0001). Additional important metabolic parameters, including fasting insulin, triglycerides and abdominal fat, as reflected by waist circumference, were also measured. The addition of CORLUX to Risperdal resulted in a statistically significant reduction in fasting insulin levels, triglyceride levels, and abdominal fat (as measured by waist circumference). Consistent with prior studies, CORLUX appeared to be well tolerated.</w:t>
      </w:r>
    </w:p>
    <w:p>
      <w:pPr>
        <w:spacing w:after="0" w:line="118"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The combinations of Zyprexa and CORLUX or Risperdal and CORLUX are not approved for any indication. The purpose of these studies was to explore the hypothesis that GR-II antagonists would mitigate weight gain associated with atypical antipsychotic medications. The group of medications known as atypical</w:t>
      </w:r>
    </w:p>
    <w:p>
      <w:pPr>
        <w:spacing w:after="0" w:line="1"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antipsychotics, including Zyprexa, Risperdal, Clozaril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(clozapine) and Seroquel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(quetiapine), are widely used to treat schizophrenia and bipolar disorder. All medications in this group are associated with treatment emergent weight gain of varying degrees and carry a warning label relating to treatment emergent hyperglycemia and diabetes mellitus.</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April 2005, we announced results from two preclinical studies conducted in a rat model of olanzapine-induced weight gain. These studies demonstrated that CORLUX’s GR-II antagonist action has the potential to both reduce the weight gain associated with olanzapine and to prevent the weight gain associated with the initiation of treatment with olanzapine, which led to our studies in humans.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 108297 for the Prevention and Reversal of Antipsychotic Induced Weight Gain</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January 2009 we announced results from two preclinical studies of our next-generation selective GR-II receptor antagonist, CORT 108297 for the prevention and reversal of weight gain associated with olanzapine. The data demonstrated that CORT 108297 has the potential to both reduce weight gain caused by olanzapine and to prevent weight gain caused by initiation of treatment with olanzapine. The two studies were conducted in the rat model of olanzapine induced weight gain described above in which CORLUX was tested with olanzapine. Eli Lilly provided olanzapine and funded the cost of these studies.</w:t>
      </w:r>
    </w:p>
    <w:p>
      <w:pPr>
        <w:spacing w:after="0" w:line="17" w:lineRule="exact"/>
        <w:rPr>
          <w:sz w:val="20"/>
          <w:szCs w:val="20"/>
          <w:color w:val="auto"/>
        </w:rPr>
      </w:pPr>
    </w:p>
    <w:p>
      <w:pPr>
        <w:ind w:left="900" w:right="20" w:hanging="325"/>
        <w:spacing w:after="0" w:line="28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One study evaluated the potential for CORT 108297 to reverse weight gain caused by treatment with olanzapine. In this study six groups (n = 12 per group) of rats were allowed to eat a normal diet for 56 days. Five groups were dosed orally with olanzapine daily. The sixth group received placebo. At day 35, the five groups receiving olanzapine had gained a statistically significant amount of weight compared to the group receiving placebo. The five olanzapine groups then began to receive daily oral doses either of CORT 108297 (at one of three dose levels), CORLUX, or placebo through day 56. The data demonstrated that the rats administered olanzapine alone continued to gain weight through day 56. In contrast, the rats given olanzapine along with CORT 108297 and those administered olanzapine with CORLUX did not. By day 56, there was a highly statistically significant difference between these groups and the group administered olanzapine alone. In addition, the ameliorization of olanzapine induced weight gain by CORT 108297 was dose dependent. The rats that received the combination of olanzapine with CORT 108297, or with CORLUX, had significantly less abdominal fat than the group dosed with olanzapine alone.</w:t>
      </w:r>
    </w:p>
    <w:p>
      <w:pPr>
        <w:spacing w:after="0" w:line="38"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other study evaluated the potential for CORT 108297 to prevent weight gain when administered concurrently with olanzapine. In this study six groups (n = 12 per group) of rats were allowed to eat a normal diet for 21 days. Five groups were dosed orally with olanzapine daily and one group was given placebo daily. Four of the groups that received olanzapine were also dosed orally with either CORT 108297 (at one of three dose levels) or CORLUX; one group received olanzapine plus placebo. The sixth group was dosed with only placebo. The data demonstrated that at day 21, the three groups dosed with the combination of olanzapine and CORT 108297 had gained significantly less weight compared to the group administered olanzapine alone. Rats administered olanzapine plus CORLUX also gained less weight than rats administered olanzapine alone, but this result did not reach statistical significance.</w:t>
      </w:r>
    </w:p>
    <w:p>
      <w:pPr>
        <w:spacing w:after="0" w:line="37"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recently completed a third study which further extends the dose response relationship in olanzapine induced weight gain down to 2 milligrams per kilogram (mg/kg). We have now seen a constant dose response relationship from 120 mg/kg down to 2mg/kg.</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CORT 108297 or other GR-II antagonists prove to mitigate the weight gain and metabolic disturbances associated with the use of antipsychotics it could be of benefit to the millions of people currently taking these medications. We plan to advance CORT 108297 into clinical trials in the next 12 months, subject to availability of funds.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GR-II Antagonist Platform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assembled a patent portfolio covering a broad range of uses, as well as the composition of our new chemical entities.</w:t>
      </w:r>
    </w:p>
    <w:p>
      <w:pPr>
        <w:spacing w:after="0" w:line="90" w:lineRule="exact"/>
        <w:rPr>
          <w:sz w:val="20"/>
          <w:szCs w:val="20"/>
          <w:color w:val="auto"/>
        </w:rPr>
      </w:pPr>
    </w:p>
    <w:p>
      <w:pPr>
        <w:ind w:left="900" w:right="120" w:hanging="325"/>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composition of matter claims on three patent families of novel selective glucocorticoid antagonists. These have been filed internationally, with applications for two of the three families already granted in Europe. In the United States, applications for two of the three families are in active prosecution, and are moving toward allowance. Examination has not yet begun in the U.S. on our third novel selective GR-II family.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also have a portfolio of patents for the treatment of psychiatric and metabolic disorders that may benefit from drugs that block the GR-II receptor. In addition to psychotic depression, we own or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exclusively licensed issued patents for the use of GR-II antagonists for the prevention and treatment of stress disorders, for increasing the therapeutic response to ECT and for the treatment of:</w:t>
      </w:r>
    </w:p>
    <w:p>
      <w:pPr>
        <w:spacing w:after="0" w:line="64"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 gain following treatment with antipsychotic medication,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early dementia, including early Alzheimer’s disease;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mild cognitive impairment;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gastroesophageal reflux disease;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cognitive deterioration in adults with Down’s Syndrome;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delirium;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psychosis associated with cocaine addiction.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Research</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early 2003, we initiated a discovery research program to identify and patent more selective GR-II antagonists at a contract research organization in the United Kingdom. Through the research program, we identified and filed patent applications for three distinct series of GR-II antagonists. These compounds appear to be as potent as Corcept’s lead product CORLUX in blocking cortisol but, unlike CORLUX, they do not appear to block the progesterone or other steroid receptors. Currently we are evaluating several compounds in our research programs, including CORT 108297, a lead compound from our discovery efforts. CORT 108297 has demonstrated attractive characteristics, with high plasma and brain concentrations in an animal model and promising results in a human microdosing study, including good bioavailability and potential for once-daily dosing. As previously mentioned, CORT 108297 has also demonstrated the ability to prevent and reduce olanzapine induced weight gain in a rodent model.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incurred approximately $14.2 million, $7.9 million and $20.8 million of research and development expenses, respectively, in the years ended December 31, 2008, 2007 and 2006, which accounted for approximately 71%, 62% and 81% of our total expenses in these respective fiscal years. For a further discussion, see Part II, Item 7, Management’s Discussion and Analysis of Financial Conditions and Results of Operations—Results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Education and Commercialization</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are planning for the commercialization of CORLUX. To achieve commercial success for any approved product, we must either develop a marketing and sales force or enter into arrangements with others to market and sell our products. We intend to develop our own medical education and commercialization infrastructure in the United States for CORLUX because we believe that the initial markets for psychotic depression in the United States and for Cushing’s Syndrome are highly concentrated and accessible.</w:t>
      </w:r>
    </w:p>
    <w:p>
      <w:pPr>
        <w:spacing w:after="0" w:line="62" w:lineRule="exact"/>
        <w:rPr>
          <w:sz w:val="20"/>
          <w:szCs w:val="20"/>
          <w:color w:val="auto"/>
        </w:rPr>
      </w:pPr>
    </w:p>
    <w:p>
      <w:pPr>
        <w:ind w:left="900" w:hanging="325"/>
        <w:spacing w:after="0" w:line="25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anticipate that this will include hiring a small, experienced field sales force to access patients with psychotic depression. We intend to focus initially on patients who are candidates for ECT by marketing to hospitals and psychiatrists that perform ECT. We estimate that there are approximately 900 hospitals with more than 30 in-patient psychiatric beds. Of these, we estimate that approximately 300 offer ECT. We believe that approximately 1000 psychiatrists administer most ECT procedures. Subsequently, we also intend to expand our commercialization efforts to address the larger set of patients with psychotic depression currently undergoing combination drug therapy, which would require an increase in the size of our initial sales force.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believe that a significant opportunity exists to further expand the market for the treatment of the psychotic features of psychotic depression beyond patients currently treated by ECT and combination drug therapy. A large portion of the people who suffer from psychotic depression remain unrecognized and undertreated. We intend to develop medical educational programs to alert the medical community about early diagnosis of psychotic depression and increase awareness regarding CORLUX.</w:t>
      </w:r>
    </w:p>
    <w:p>
      <w:pPr>
        <w:spacing w:after="0" w:line="62" w:lineRule="exact"/>
        <w:rPr>
          <w:rFonts w:ascii="Arial" w:cs="Arial" w:eastAsia="Arial" w:hAnsi="Arial"/>
          <w:sz w:val="18"/>
          <w:szCs w:val="18"/>
          <w:color w:val="auto"/>
        </w:rPr>
      </w:pPr>
    </w:p>
    <w:p>
      <w:pPr>
        <w:ind w:left="900" w:right="56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also expect to hire a small, experienced field sales force to sell CORLUX for the treatment of Cushing’s Syndrome. We intend to focus on patients who are in the care of an endocrinologist and in active treatment for their disease. We estimate that there are approximately 300 endocrinologists who could be targeted to reach the Cushing’s Syndrome patients in active treatment.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a drug development entity, we intend to continue to utilize our financial resources to complete the development of CORLUX and advance other product candidates rather than diverting resources to establishing our own manufacturing facilities.</w:t>
      </w:r>
    </w:p>
    <w:p>
      <w:pPr>
        <w:spacing w:after="0" w:line="132"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We intend to continue to rely on experienced contract manufacturers to produce our product candidates. We have entered into manufacturing agreements with two contract manufacturers, Produits Chimiques Auxiliaires et de Synthese SA (PCAS) and ScinoPharm Taiwan (ScinoPharm), to produce the active pharmaceutical ingredient, or API, for CORLUX. The agreement with PCAS is for an initial period of five years with an automatic extension for one additional year unless either party gives twelve month’s prior notice that it does not want the extension. There is no guaranteed minimum purchase commitment under this agreement. If PCAS is unable to manufacture the product for a consecutive six-month period, we have the right to terminate the agreement. The agreement with ScinoPharm obligates us to purchase at least $1,000,000 of bulk mifepristone per year following the commercial launch of CORLUX. This agreement is terminable by either party at any time. We have also entered into an agreement with another contract manufacturer, PharmaForm, L.L.C., for the production of CORLUX tablets for use in clinical activities. To date, our need for CORLUX tablets has been limited to the amounts required to support our clinical trials.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If approved for commercial use as a treatment for the psychotic features of psychotic depression, CORLUX will compete with established treatments, including ECT and combination drug therapy.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ECT has been shown to be the most effective treatment for psychotic depression, but it carries the risks of general anesthesia, potential memory loss and other adverse effects as well as the stigma associated with the procedure. Use of CORLUX does not require anesthesia and, in our clinical trials conducted to date, patients treated with CORLUX have not exhibited the adverse effects associated with ECT.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competitors include companies that market antipsychotic drugs that are used off-label as part of combination drug therapy for psychotic depression. To reduce the psychotic features of psychotic depression, these drugs generally are taken in combination with antidepressant medication over a period of weeks to several months. Unlike the use of CORLUX, this extended course of treatment may put patients at risk of significant adverse side effects, including weight gain, diabetes, sedation, permanent movement disorders and sexual dysfunction. Antipsychotics include Bristol-Myers Squibb’s Abilify, Novartis’ Clozaril, Pfizer’s Geodon and Navane, Ortho-McNeil’s Haldol, Janssen Pharmaceutica’s Risperdal, AstraZeneca’s Seroquel, GlaxoSmithKline’s Stelazine and Thorazine, Mylan’s Mellaril, Schering Corporation’s Trilafon and Eli Lilly’s Zyprexa.</w:t>
      </w:r>
    </w:p>
    <w:p>
      <w:pPr>
        <w:spacing w:after="0" w:line="12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are aware of one clinical trial that has taken place, conducted by the pharmaceutical division of Akzo Nobel, for a new chemical entity for the treatment of psychotic depression. This new medicine is a GR-II antagonist, the commercial use of which would be covered by our patent. In 2004, Akzo Nobel filed 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observation in our exclusively licensed European patent application with claims directed to psychotic depression, in which Akzo Nobel challenged the claims of that patent application. In 2005, we filed a rebuttal to Akzo Nobel’s observation. In February 2006, the European Patent Office, or EPO, allowed our patent application. In July 2006, the patent was issued. We are not aware of any public disclosures by any company, other than Akzo Nobel, regarding the development of new medicinal products to treat psychotic depression. However, other companies may be developing new drug products to treat psychotic depression and the other conditions we are exploring. Our present and potential competitors include major pharmaceutical companies, as well as specialized pharmaceutical firms. Most of our competitors have considerably greater financial, technical and marketing resources than we do. We expect competition to intensify as technical advances are made.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aware that Laboratoire HRA Pharma has received an Orphan Drug Designation in the United States and Europe for the use of mifepristone to treat a subtype of Cushing’s Syndrome and has begun a clinical trial in Europe and the United States. If this product is approved for commercialization before CORLUX, our potential future revenue could be reduced if there is off-label use of mifepristone for psychotic depression or for Cushing’s Syndrome that cannot be protected by our intellectual property.</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Many colleges, universities and public and private research organizations are also active in the human health care field. While these entities focus on education, they may develop or acquire proprietary technology that we may require for the development of our product candidates. We may attempt to obtain licenses to this proprietary technology.</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ability to compete successfully will be based on our ability to develop proprietary products, attract and retain scientific personnel, obtain patent or other protection for our product candidates, obtain required regulatory approvals and manufacture and successfully market our future products either alone or through outside 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Patents and other proprietary rights are important to our business. It is our policy to seek patent protection for our inventions, and to rely upon trade secrets, know-how, continuing technological innovations and licensing opportunities to develop and maintain our competitive position.</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Under an agreement with Stanford University, we have licensed exclusive rights to the following issued U.S. patents and any corresponding foreign patents:</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U.S. Patent Number</w:t>
            </w:r>
          </w:p>
        </w:tc>
        <w:tc>
          <w:tcPr>
            <w:tcW w:w="10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Subject Matter</w:t>
            </w:r>
          </w:p>
        </w:tc>
        <w:tc>
          <w:tcPr>
            <w:tcW w:w="222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Expiration Date</w:t>
            </w:r>
          </w:p>
        </w:tc>
        <w:tc>
          <w:tcPr>
            <w:tcW w:w="260" w:type="dxa"/>
            <w:vAlign w:val="bottom"/>
          </w:tcPr>
          <w:p>
            <w:pPr>
              <w:spacing w:after="0"/>
              <w:rPr>
                <w:sz w:val="19"/>
                <w:szCs w:val="19"/>
                <w:color w:val="auto"/>
              </w:rPr>
            </w:pPr>
          </w:p>
        </w:tc>
      </w:tr>
      <w:tr>
        <w:trPr>
          <w:trHeight w:val="203"/>
        </w:trPr>
        <w:tc>
          <w:tcPr>
            <w:tcW w:w="1560" w:type="dxa"/>
            <w:vAlign w:val="bottom"/>
          </w:tcPr>
          <w:p>
            <w:pPr>
              <w:ind w:left="560"/>
              <w:spacing w:after="0" w:line="203" w:lineRule="exact"/>
              <w:rPr>
                <w:sz w:val="20"/>
                <w:szCs w:val="20"/>
                <w:color w:val="auto"/>
              </w:rPr>
            </w:pPr>
            <w:r>
              <w:rPr>
                <w:rFonts w:ascii="Arial" w:cs="Arial" w:eastAsia="Arial" w:hAnsi="Arial"/>
                <w:sz w:val="18"/>
                <w:szCs w:val="18"/>
                <w:color w:val="auto"/>
                <w:w w:val="93"/>
              </w:rPr>
              <w:t>U.S. Pat. No.</w:t>
            </w:r>
          </w:p>
        </w:tc>
        <w:tc>
          <w:tcPr>
            <w:tcW w:w="1080" w:type="dxa"/>
            <w:vAlign w:val="bottom"/>
          </w:tcPr>
          <w:p>
            <w:pPr>
              <w:jc w:val="right"/>
              <w:ind w:right="332"/>
              <w:spacing w:after="0" w:line="203" w:lineRule="exact"/>
              <w:rPr>
                <w:sz w:val="20"/>
                <w:szCs w:val="20"/>
                <w:color w:val="auto"/>
              </w:rPr>
            </w:pPr>
            <w:r>
              <w:rPr>
                <w:rFonts w:ascii="Arial" w:cs="Arial" w:eastAsia="Arial" w:hAnsi="Arial"/>
                <w:sz w:val="18"/>
                <w:szCs w:val="18"/>
                <w:color w:val="auto"/>
                <w:w w:val="79"/>
              </w:rPr>
              <w:t>6,150,349</w:t>
            </w:r>
          </w:p>
        </w:tc>
        <w:tc>
          <w:tcPr>
            <w:tcW w:w="2100" w:type="dxa"/>
            <w:vAlign w:val="bottom"/>
          </w:tcPr>
          <w:p>
            <w:pPr>
              <w:ind w:left="420"/>
              <w:spacing w:after="0" w:line="203" w:lineRule="exact"/>
              <w:rPr>
                <w:sz w:val="20"/>
                <w:szCs w:val="20"/>
                <w:color w:val="auto"/>
              </w:rPr>
            </w:pPr>
            <w:r>
              <w:rPr>
                <w:rFonts w:ascii="Arial" w:cs="Arial" w:eastAsia="Arial" w:hAnsi="Arial"/>
                <w:sz w:val="18"/>
                <w:szCs w:val="18"/>
                <w:color w:val="auto"/>
                <w:w w:val="84"/>
              </w:rPr>
              <w:t>Use of GR-II antagonists</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w w:val="89"/>
              </w:rPr>
              <w:t>in the treatment</w:t>
            </w:r>
          </w:p>
        </w:tc>
        <w:tc>
          <w:tcPr>
            <w:tcW w:w="222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October 5, 2018</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3"/>
          </w:tcPr>
          <w:p>
            <w:pPr>
              <w:ind w:left="420"/>
              <w:spacing w:after="0"/>
              <w:rPr>
                <w:sz w:val="20"/>
                <w:szCs w:val="20"/>
                <w:color w:val="auto"/>
              </w:rPr>
            </w:pPr>
            <w:r>
              <w:rPr>
                <w:rFonts w:ascii="Arial" w:cs="Arial" w:eastAsia="Arial" w:hAnsi="Arial"/>
                <w:sz w:val="18"/>
                <w:szCs w:val="18"/>
                <w:color w:val="auto"/>
              </w:rPr>
              <w:t>of psychotic major depression</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U.S. Pat. No. 6,362,173</w:t>
            </w:r>
          </w:p>
        </w:tc>
        <w:tc>
          <w:tcPr>
            <w:tcW w:w="5460" w:type="dxa"/>
            <w:vAlign w:val="bottom"/>
            <w:gridSpan w:val="3"/>
          </w:tcPr>
          <w:p>
            <w:pPr>
              <w:ind w:left="420"/>
              <w:spacing w:after="0"/>
              <w:rPr>
                <w:sz w:val="20"/>
                <w:szCs w:val="20"/>
                <w:color w:val="auto"/>
              </w:rPr>
            </w:pPr>
            <w:r>
              <w:rPr>
                <w:rFonts w:ascii="Arial" w:cs="Arial" w:eastAsia="Arial" w:hAnsi="Arial"/>
                <w:sz w:val="18"/>
                <w:szCs w:val="18"/>
                <w:color w:val="auto"/>
              </w:rPr>
              <w:t>Use of GR-II antagonists in the treatment of cocaine-induced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October 5, 2018</w:t>
            </w: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3"/>
          </w:tcPr>
          <w:p>
            <w:pPr>
              <w:ind w:left="420"/>
              <w:spacing w:after="0"/>
              <w:rPr>
                <w:sz w:val="20"/>
                <w:szCs w:val="20"/>
                <w:color w:val="auto"/>
              </w:rPr>
            </w:pPr>
            <w:r>
              <w:rPr>
                <w:rFonts w:ascii="Arial" w:cs="Arial" w:eastAsia="Arial" w:hAnsi="Arial"/>
                <w:sz w:val="18"/>
                <w:szCs w:val="18"/>
                <w:color w:val="auto"/>
              </w:rPr>
              <w:t>psychosis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U.S. Pat. No. 6,369,046</w:t>
            </w:r>
          </w:p>
        </w:tc>
        <w:tc>
          <w:tcPr>
            <w:tcW w:w="5460" w:type="dxa"/>
            <w:vAlign w:val="bottom"/>
            <w:gridSpan w:val="3"/>
          </w:tcPr>
          <w:p>
            <w:pPr>
              <w:ind w:left="420"/>
              <w:spacing w:after="0"/>
              <w:rPr>
                <w:sz w:val="20"/>
                <w:szCs w:val="20"/>
                <w:color w:val="auto"/>
              </w:rPr>
            </w:pPr>
            <w:r>
              <w:rPr>
                <w:rFonts w:ascii="Arial" w:cs="Arial" w:eastAsia="Arial" w:hAnsi="Arial"/>
                <w:sz w:val="18"/>
                <w:szCs w:val="18"/>
                <w:color w:val="auto"/>
              </w:rPr>
              <w:t>Use of GR-II antagonists in the treatment of early dementia</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February 4, 2019</w:t>
            </w:r>
          </w:p>
        </w:tc>
      </w:tr>
    </w:tbl>
    <w:p>
      <w:pPr>
        <w:spacing w:after="0" w:line="15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required to make milestone payments and pay royalties to Stanford University on sales of products commercialized under any of the above patents. We are currently in compliance with our obligations under the agreement. If Stanford University were to terminate any of our exclusive licenses due to breach of the license on our part, we would not be able to commercialize CORLUX for the treatment of the psychotic features of psychotic depression, cocaine-induced psychosis or early dementia.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also own issued U.S. patents for the use of GR-II antagonists in the treatment of mild cognitive impairment, for the treatment of weight gain following treatment with antipsychotic medication, for the prevention and treatment of stress disorders, for the treatment of delirium, for the treatment of gastroesophageal reflux disease, for inhibiting cognitive deterioration in adults with Down’s Syndrome and for increasing the therapeutic response to ECT. In addition, we have three U.S. composition of matter patent applications covering specific GR-II antagonists and six U.S. method of use patent applications covering certain GR-II antagonists, including the treatment of:</w:t>
      </w:r>
    </w:p>
    <w:p>
      <w:pPr>
        <w:spacing w:after="0" w:line="6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catatonia;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neurological damage in premature infants;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migraine headaches;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postpartum psychosis,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psychosis associated with interferon-alpha therapy.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filed, where we deemed appropriate, foreign patent applications corresponding to our U.S. patent applications.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However, we cannot assure you that any of our patent applications will result in the issuance of patents, that any issued patent will include claims of the breadth sought in these applications or that competitors will not successfully challenge or circumvent our patents if they are issued.</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Although three of our patent applications have claims directed to the composition of compounds that are necessary to make our potential products, none of our issued patents have such claims. Specifically, we do not have a patent with claims directed to the composition of mifepristone. Our rights under our issued patents cover only the use of GR-II antagonists, including mifepristone, in the treatment of specific diseases.</w:t>
      </w:r>
    </w:p>
    <w:p>
      <w:pPr>
        <w:spacing w:after="0" w:line="10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patent covering the product mifepristone has expired. The only FDA-approved use of mifepristone is to terminate pregnancy. The FDA has imposed significant restrictions on the use of mifepristone to terminate pregnancy and may impose similar restrictions on CORLUX for the treatment of the psychotic features of psychotic depression. We plan to rely on (1) the scope of our use patent, (2) the restrictions imposed by the FDA on the use of mifepristone to terminate pregnancy and (3) the different patient populations, administering physicians and treatment settings between the use of mifepristone to terminate pregnancy and to treat psychotic depression.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patent positions of companies in the pharmaceutical industry are highly uncertain, involve complex legal and factual questions and have been and continue to be the subject of much litigation. Our product candidates may give rise to claims that we infringe on the products or proprietary rights of others. If it is determined that our drug candidates infringe on others’ patent rights, we may be required to obtain licenses to those rights. If we fail to obtain licenses when necessary, we may experience delays in commercializing our product candidates while attempting to design around other patents, or determine that we are unable to commercialize our product candidates at all. If we do become involved in intellectual property litigation, we are likely to incur considerable costs in defending or prosecuting the litigation. We believe that we do not currently infringe any third party’s patents or other proprietary rights, and we are not obligated to pay royalties to any third party other than Stanford University.</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November 2003, McLean Hospital had alleged that it also had rights to the technology that led to the patent for the use of GR-II antagonists to treat the psychotic features of psychotic depression. McLean Hospital was a prior employer of one of our founders, Dr. Alan Schatzberg and it alleged that the invention of the technology underlying this patent was conceived by Dr. Schatzberg and/or Dr. Anthony Rothschild while the two were employed by McLean Hospital. We contended that the invention was actually conceived by Dr. Schatzberg and Dr. Joseph Belanoff while they were employed by Stanford University and that the patent was appropriately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assigned by them to Stanford University. In October 2004, we announced a resolution of this issue in which we retained our exclusive rights under the patent and which required us to make no additional payments under the license, regardless of the resolution of the impending inventorship dispute. In January 2005, the inventorship issue was resolved in favor of Stanford University.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discussed above under “Competition,” in 2004 Akzo Nobel filed an observation to the grant of our exclusively licensed European patent application with claims directed to psychotic depression. In February 2006, the EPO allowed our patent application. We are not aware of any other disputes related to patent issues.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our exclusive license agreement with Stanford University to patents covering the use of CORLUX to treat the psychotic features of psychotic depression and for the treatment of early dementia, we are required to pay Stanford $50,000 annually as a nonrefundable royalty payment. This payment is creditable against future royalties. We are also obligated to pay Stanford a $50,000 milestone upon the filing of the new drug application, or NDA, for CORLUX for the treatment of psychotic depression and a further $200,000 milestone payment upon FDA approval of CORLUX. The milestone payments are also creditable against future royalties. This license agreement expires upon expiration of the related patents or upon notification by us to Stanford.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Prescription pharmaceutical products are subject to extensive pre- and post-market regulation, including regulations that govern the testing, manufacturing, safety, efficacy, labeling, storage, record keeping, advertising, and promotion of the products under the Federal Food, Drug and Cosmetic Act. All of our product candidates will require regulatory approval by government agencies prior to commercialization. The process required by the FDA before a new drug may be marketed in the United States generally involves the following: completion of preclinical laboratory and animal testing; submission of an IND, which must become effective before clinical trials may begin; performance of adequate and well controlled human clinical trials to establish the safety and efficacy of the proposed drug or biologic’s intended use; and, in the case of a new drug, approval by the FDA of an NDA. The process of complying with these and other federal and state statutes and regulations in order to obtain the necessary approvals and subsequently complying with federal and state statutes and regulations involves significant time and expense.</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Preclinical studies are generally conducted in laboratory animals to evaluate the potential safety and the efficacy of a product. Drug developers submit the results of preclinical studies to the FDA as a part of an IND, which must be approved before beginning clinical trials in humans. Typically, human clinical trials are conducted in three sequential phases that may overlap.</w:t>
      </w:r>
    </w:p>
    <w:p>
      <w:pPr>
        <w:spacing w:after="0" w:line="59" w:lineRule="exact"/>
        <w:rPr>
          <w:sz w:val="20"/>
          <w:szCs w:val="20"/>
          <w:color w:val="auto"/>
        </w:rPr>
      </w:pPr>
    </w:p>
    <w:p>
      <w:pPr>
        <w:ind w:left="900" w:right="7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1. Clinical trials are conducted with a small number of subjects to determine the early safety profile, maximum tolerated dose and pharmacokinetics of the product candidate in human volunteers.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2. Clinical trials are conducted with groups of patients afflicted with a specific disease to determine preliminary efficacy, optimal dosages and expanded evidence of safety.</w:t>
      </w:r>
    </w:p>
    <w:p>
      <w:pPr>
        <w:spacing w:after="0" w:line="50" w:lineRule="exact"/>
        <w:rPr>
          <w:rFonts w:ascii="Arial" w:cs="Arial" w:eastAsia="Arial" w:hAnsi="Arial"/>
          <w:sz w:val="18"/>
          <w:szCs w:val="18"/>
          <w:color w:val="auto"/>
        </w:rPr>
      </w:pPr>
    </w:p>
    <w:p>
      <w:pPr>
        <w:jc w:val="both"/>
        <w:ind w:left="900" w:right="40" w:hanging="325"/>
        <w:spacing w:after="0" w:line="370"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Phase 3. Large-scale, multi-center, comparative trials are conducted with patients afflicted with a target disease to establish the overall risk/benefit ratio of the drug and to provide enough data to demonstrate with substantial evidence the efficacy and safety of the product, as required by the FDA.</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FDA and the Institutional Review Boards closely monitor the progress of each of the three phases of clinical trials that are conducted in the United States and may reevaluate, alter, suspend or terminate the testing at any time for various reasons, including a belief that the subjects are being exposed to an unacceptable health risk. The FDA may also require that additional studies be conducted, such as studies demonstrating that the drug being tested does not cause cancer.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After Phase 3 trials are completed, drug developers submit the results of preclinical studies, clinical trials, formulation studies and data supporting manufacturing to the FDA in the form of an NDA for approval to commence commercial sales. The FDA reviews all NDAs submitted before it accepts them for filing. The FDA may request additional information rather than accept an NDA for filing. If the FDA accepts an NDA for filing, they may grant marketing approval, request additional information or deny the application if it determines that the application does not meet regulatory approval criteria. FDA approvals may not be granted on a timely basis, or at all.</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the FDA approves an NDA, the subject drug becomes available for physicians to prescribe in the United States. Once approved, the FDA may withdraw the product approval if compliance with pre- and post-market regulatory standards is not maintained. The drug developer must submit periodic reports to the FDA. Adverse experiences with the product must be reported to the FDA and could result in the imposition of marketing restrictions through labeling changes or product removal. Product approvals may be withdrawn if problems with safety or efficacy occur after the product reaches the marketplace. In addition, the FDA may require post-marketing studies, referred to as Phase 4 studies, to monitor the effect of approved products, and may limit further marketing of the product based on the results of these post-market studies.</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Facilities used to manufacture drugs are subject to periodic inspection by the FDA and other authorities where applicable, and must comply with current Good Manufacturing Practices regulations, or cGMP. Failure to comply with the statutory and regulatory requirements subjects the manufacturer to possible legal or regulatory action, such as suspension of manufacturing, seizure of product or voluntary recall of a product.</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With respect to post-market product advertising and promotion, the FDA imposes a number of complex regulations on entities that advertise and promote pharmaceuticals, which include, among others, standards and regulations for direct-to-consumer advertising, off-label promotion, industry sponsored scientific and educational activities, and promotional activities involving the Internet. The FDA has very broad enforcement authority under the Federal Food, Drug and Cosmetic Act, and failure to abide by these regulations can result in penalties including the issuance of a warning letter directing a company to correct deviations from FDA standards, a requirement that future advertising and promotional materials be pre-cleared by the FDA, and state and federal civil and criminal investigations and prosecutions.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studies requested by the FDA after approval, a drug developer may conduct other trials and studies to explore use of the approved compound for treatment of new indications. The purpose of these trials and studies and related publications is to broaden the application and use of the drug and its acceptance in the medical community. Data supporting the use of a drug for these new indications must be submitted to the FDA in a new or supplemental NDA that must be approved by the FDA before the drug can be marketed for the new indications.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Approvals outside the United States. </w:t>
      </w:r>
      <w:r>
        <w:rPr>
          <w:rFonts w:ascii="Arial" w:cs="Arial" w:eastAsia="Arial" w:hAnsi="Arial"/>
          <w:sz w:val="18"/>
          <w:szCs w:val="18"/>
          <w:color w:val="auto"/>
        </w:rPr>
        <w:t>We have not started the regulatory approval process in any jurisdiction other than the United States and we are</w:t>
      </w:r>
      <w:r>
        <w:rPr>
          <w:rFonts w:ascii="Arial" w:cs="Arial" w:eastAsia="Arial" w:hAnsi="Arial"/>
          <w:sz w:val="18"/>
          <w:szCs w:val="18"/>
          <w:i w:val="1"/>
          <w:iCs w:val="1"/>
          <w:color w:val="auto"/>
        </w:rPr>
        <w:t xml:space="preserve"> </w:t>
      </w:r>
      <w:r>
        <w:rPr>
          <w:rFonts w:ascii="Arial" w:cs="Arial" w:eastAsia="Arial" w:hAnsi="Arial"/>
          <w:sz w:val="18"/>
          <w:szCs w:val="18"/>
          <w:color w:val="auto"/>
        </w:rPr>
        <w:t>unable to estimate when, if ever, we will commence the regulatory approval process in any foreign jurisdiction. We will have to complete an approval process similar to the U.S. approval process in foreign target markets for our product candidates before we can commercialize our product candidates in those countries. The approval procedure and the time required for approval vary from country to country and can involve additional testing. Foreign approvals may not be granted on a timely basis, or at all. Regulatory approval of prices is required in most countries other than the United States. The prices approved may be too low to generate an acceptable return to us.</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The FDA sometimes grants “fast track” status under the Food and Drug Administration Modernization Act of 1997. The fast</w:t>
      </w:r>
      <w:r>
        <w:rPr>
          <w:rFonts w:ascii="Arial" w:cs="Arial" w:eastAsia="Arial" w:hAnsi="Arial"/>
          <w:sz w:val="18"/>
          <w:szCs w:val="18"/>
          <w:i w:val="1"/>
          <w:iCs w:val="1"/>
          <w:color w:val="auto"/>
        </w:rPr>
        <w:t xml:space="preserve"> </w:t>
      </w:r>
      <w:r>
        <w:rPr>
          <w:rFonts w:ascii="Arial" w:cs="Arial" w:eastAsia="Arial" w:hAnsi="Arial"/>
          <w:sz w:val="18"/>
          <w:szCs w:val="18"/>
          <w:color w:val="auto"/>
        </w:rPr>
        <w:t>track mechanism was created to facilitate the development and approval of new drugs intended for the treatment of life-threatening conditions for which there are no effective treatments and which demonstrate the potential to address unmet medical needs for the condition. The fast track process includes scheduling of meetings to seek FDA input into development plans, the option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submitting an NDA serially in sections rather than submitting all components simultaneously, the option to request evaluation of studies using surrogate endpoints, and the potential for a priority review.</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been granted fast track status for CORLUX for the treatment of the psychotic features of psychotic depression. However, the fast track designation may be withdrawn by the FDA at any time. The fast track designation does not guarantee that we will qualify for or be able to take advantage of the expedited review procedures and does not increase the likelihood that CORLUX will receive regulatory approval.</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Priority Review. </w:t>
      </w:r>
      <w:r>
        <w:rPr>
          <w:rFonts w:ascii="Arial" w:cs="Arial" w:eastAsia="Arial" w:hAnsi="Arial"/>
          <w:sz w:val="18"/>
          <w:szCs w:val="18"/>
          <w:color w:val="auto"/>
        </w:rPr>
        <w:t>The FDA has indicated to us that it will grant us a priority review of our NDA of CORLUX for the treatment of the psychotic features of</w:t>
      </w:r>
      <w:r>
        <w:rPr>
          <w:rFonts w:ascii="Arial" w:cs="Arial" w:eastAsia="Arial" w:hAnsi="Arial"/>
          <w:sz w:val="18"/>
          <w:szCs w:val="18"/>
          <w:i w:val="1"/>
          <w:iCs w:val="1"/>
          <w:color w:val="auto"/>
        </w:rPr>
        <w:t xml:space="preserve"> </w:t>
      </w:r>
      <w:r>
        <w:rPr>
          <w:rFonts w:ascii="Arial" w:cs="Arial" w:eastAsia="Arial" w:hAnsi="Arial"/>
          <w:sz w:val="18"/>
          <w:szCs w:val="18"/>
          <w:color w:val="auto"/>
        </w:rPr>
        <w:t>psychotic depression if no other medications have been approved for this indication at the time of our submission.</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Orphan Drug Designation. </w:t>
      </w:r>
      <w:r>
        <w:rPr>
          <w:rFonts w:ascii="Arial" w:cs="Arial" w:eastAsia="Arial" w:hAnsi="Arial"/>
          <w:sz w:val="18"/>
          <w:szCs w:val="18"/>
          <w:color w:val="auto"/>
        </w:rPr>
        <w:t>The FDA has granted us Orphan Drug designation for CORLUX for the treatment of endogenous Cushing’s Syndrome. The</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 provides special status to a product to treat a rare disease or condition providing that the product meets certain criteria. Orphan designation qualifies the sponsor of the product for the tax credit and marketing incentives of the ODA. A marketing application for a prescription drug product that has been designated as a drug for a rare disease or condition is not subject to a prescription drug user fee unless the application includes an indication for other than a rare disease or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are managed by a core group of experienced pharmaceutical executives with a track record of bringing new drugs to market. To facilitate advancement of development programs, we also enlist the expertise of associates and advisors with extensive pharmaceutical development experience.</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2008, we had 15 full-time employees, three part-time employees and 13 long-term contract staff. Four of our employees are M.D.s. We consider our employee relations to be good. None of our employees is covered by a collective bargaining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are subject to the information requirements of the Securities Exchange Act of 1934 and we therefore file periodic reports, proxy statements and other information with the Securities and Exchange Commission, or SEC, relating to our business, financial statements and other matters. The reports, proxy statements and other information we file may be inspected and copied at prescribed rates at the SEC’s Public Reference Room, 100 F Street, N.E., Washington, D.C. 20549, on official business days during the hours of 10:00 A.M. to 3:00 P.M. You may obtain information on the operation of the SEC’s Public Reference Room by calling the SEC at 1-800-SEC-0330. The SEC also maintains an Internet site that contains reports, proxy statements and other information regarding issuers like us that file electronically with the SEC. The address of the SEC’s Internet site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For more information about us, please visit our website at </w:t>
      </w:r>
      <w:r>
        <w:rPr>
          <w:rFonts w:ascii="Arial" w:cs="Arial" w:eastAsia="Arial" w:hAnsi="Arial"/>
          <w:sz w:val="16"/>
          <w:szCs w:val="16"/>
          <w:i w:val="1"/>
          <w:iCs w:val="1"/>
          <w:color w:val="auto"/>
        </w:rPr>
        <w:t>www.corcept.com</w:t>
      </w:r>
      <w:r>
        <w:rPr>
          <w:rFonts w:ascii="Arial" w:cs="Arial" w:eastAsia="Arial" w:hAnsi="Arial"/>
          <w:sz w:val="16"/>
          <w:szCs w:val="16"/>
          <w:color w:val="auto"/>
        </w:rPr>
        <w:t>. You may also obtain a free copy of our annual reports on Form 10-K, quarterly reports on Form 10-Q, current reports on Form 8-K,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amendments to those reports on the day the reports or amendments are filed with or furnished to the SEC by visiting our website at </w:t>
      </w:r>
      <w:r>
        <w:rPr>
          <w:rFonts w:ascii="Arial" w:cs="Arial" w:eastAsia="Arial" w:hAnsi="Arial"/>
          <w:sz w:val="16"/>
          <w:szCs w:val="16"/>
          <w:i w:val="1"/>
          <w:iCs w:val="1"/>
          <w:color w:val="auto"/>
        </w:rPr>
        <w:t>www.corcept.com</w:t>
      </w:r>
      <w:r>
        <w:rPr>
          <w:rFonts w:ascii="Arial" w:cs="Arial" w:eastAsia="Arial" w:hAnsi="Arial"/>
          <w:sz w:val="16"/>
          <w:szCs w:val="16"/>
          <w:color w:val="auto"/>
        </w:rPr>
        <w:t>. The information found on, or otherwise accessible through, our website, is not incorporated information, and does not form a part of, this Form 10-K.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An investment in our common stock involves significant risks. You should carefully consider the risks described below and the other information in this Form 10-K, including our financial statements and related notes, before you decide to invest in our common stock. If any of the following risks or uncertainties actually occurs, our business, results of operations or financial condition could be materially harmed, the trading price of our common stock could decline and you could lose all or part of your investment. The risks and uncertainties described below are those that we currently believe may materially affect us; however, they may not be the only ones that we face. Additional risks and uncertainties of which we are unaware or currently deem immaterial may also become important factors that may harm our business. Except as required by law, we undertake no obligations to update any risk factors.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We will depend heavily on the success of our lead product candidate, CORLUX, in development for the treatment of the psychotic features of psychotic depression and for the treatment of Cushing’s Syndrome. Our first three Phase 3 trials in psychotic depression did not meet their primary and key secondary endpoints. If we are unable to commercialize CORLUX for the psychotic depression indication or for Cushing’s Syndrome, or experience significant delays in doing so, we may be unable to generate revenues and our stock price may decline.</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invested a significant portion of our time and financial resources since our inception in the development of CORLUX for the treatment of psychotic features of psychotic depression. We currently do not have any commercial products and we anticipate that for the foreseeable future our ability to generate meaningful revenues and achieve profitability will be solely dependent on the successful development, approval and commercialization of CORLUX for the treatment of psychotic features of psychotic depression or Cushing’s Syndrome. We have completed three Phase 3 clinical trials evaluating CORLUX for psychotic depression. None of the first three trials met its primary or key secondary endpoints. We are conducting a single Phase 3 trial in Cushing’s Syndrome. Many factors could harm our efforts to develop and commercialize CORLUX, including:</w:t>
      </w:r>
    </w:p>
    <w:p>
      <w:pPr>
        <w:spacing w:after="0" w:line="3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inconclusive or otherwise unfavorable results from our pre-clinical or clinical development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side effects that may be identified in the course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or delays in our clinical development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rapid technological change making CORLUX obsolete;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companies with greater financial, technical and marketing resources than ours;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costs of our clinical trials;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to obtain, or delay in obtaining, regulatory approval for the commercialization of CORLUX for the treatment of the psychotic features of psychotic depression or for the treatment of Cushing’s Syndrome;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to manufacture CORLUX or the active ingredient in CORLUX in commercial quantities and at an acceptable cost;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concerns relating to other uses of mifepristone, or RU-486, that could limit the market acceptance of CORLUX.</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b w:val="1"/>
          <w:bCs w:val="1"/>
          <w:color w:val="auto"/>
        </w:rPr>
        <w:t>Our clinical trials may not demonstrate that CORLUX is safe and effective. If our clinical program for CORLUX for the treatment of the psychotic features of psychotic depression, for Cushing’s Syndrome or for any other indications does not demonstrate safety and efficacy, our business will be harmed.</w:t>
      </w:r>
    </w:p>
    <w:p>
      <w:pPr>
        <w:spacing w:after="0" w:line="138"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To gain regulatory approval from the FDA to market CORLUX, our Phase 3 clinical trials must demonstrate the safety and efficacy of CORLUX for the particular indication. Our first three Phase 3 studies evaluating CORLUX for the treatment of the psychotic features of psychotic depression did not meet their primary or key secondary endpoints. In addition to the need for an additional Phase 3 clinical trial, we are conducting, or plan to conduct, other studies in support of a potential NDA. Clinical development is a long, expensive and uncertain process and is subject to delays, and data obtained from clinical trials and supportive studies are susceptible to varying interpretations, which could delay, limit or prevent regulatory approval. While we obtained favorable results in our Phase 2 clinical trials in psychotic depression, these results were not replicated in a robust enough way in Studies 07, 09 or 06 and are not sufficient to use by themselves as the pivotal clinical trials in an application for FDA approval. In addition, we cannot assure you that supportive studies and tests will produce favorable results.</w:t>
      </w:r>
    </w:p>
    <w:p>
      <w:pPr>
        <w:spacing w:after="0" w:line="9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development plan for CORLUX is not certain, and will require additional, expensive clinical and preclinical trials. We may not be able to finance the development programs.</w:t>
      </w:r>
    </w:p>
    <w:p>
      <w:pPr>
        <w:spacing w:after="0" w:line="12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development of CORLUX, we have been engaged in dialogue with the FDA to determine an acceptable development plan which would enable the FDA to complete its review in a satisfactory manner. Because the results of our previously completed Phase 3 trials evaluating CORLUX for treatment of the psychotic features of psychotic depression did not meet their primary endpoints, the FDA is requiring us to pursue at least one additional clinical trial to demonstrate the safety and/or efficacy of CORLUX for this indication. The FDA generally requires two positive Phase 3 studies or one positive Phase 3 study with other supportive data to be completed prior to the submission of an NDA.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anticipate continued dialogue with the FDA to define any additional data needed to complete an NDA.</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 we may decide, or the FDA or other regulatory authorities may require us, to pursue additional clinical, pre-clinical or manufacturing studies to satisfactorily complete our NDA. For example, the FDA may require us to perform a bioequivalance study comparing our recently reformulated CORLUX clinical trial materials to the materials used in our earlier clinical trials. Additional trials or studies will require additional funding which is not assured. Also, it is possible that additional trials or studies that we decide are necessary or desirable will delay or prevent the completion of the development of CORLUX for treating the psychotic features of psychotic depression or Cushing’s Syndrome. We anticipate continued dialogue with the FDA to define any additional data needed to complete an NDA.</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adequate funds are not available for our currently contemplated trials and studies, or for any further ones that we may decide are necessary or desirable, we may be required to delay, reduce the scope of or eliminate some or all of our research or development programs. Even if funds are available, additional equity financing may be dilutive to stockholders; debt financing, if available, may involve restrictive covenants; obtaining funds through collaborations may be on unfavorable terms or may require us to relinquish certain rights to our technologies or product candidates, potentially including our lead product candidate, that we would otherwise seek to develop on our own. Even after we conduct all of the clinical trials and supportive studies that we consider appropriate for an optimal NDA, we may not receive regulatory approval to market CORLUX.</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other factors could delay or result in termination of our clinical trials, including, but not limited to:</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 patient enrollment;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noncompliance with the protocol;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medical events or side effects among patients during the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problematic FDA inspections of our clinical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 or perceived lack of effectiveness or safety of CORLUX.</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Even after we conduct all of the clinical trials and supportive studies that we consider appropriate for an optimal NDA, we may not receive regulatory approval to market CORLUX.</w:t>
      </w:r>
    </w:p>
    <w:p>
      <w:pPr>
        <w:spacing w:after="0" w:line="12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will need additional capital in order to complete the development and commercialization of CORLUX and our other proprietary, selective GR-II antagonists. Additional capital may not be available to us at all or on favorable terms.</w:t>
      </w:r>
    </w:p>
    <w:p>
      <w:pPr>
        <w:spacing w:after="0" w:line="12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will have to perform additional clinical trials prior to submission of a New Drug Application, or NDA, for CORLUX for the treatment of the psychotic features of psychotic depression and for Cushing’s Syndrome. We will need to raise additional funds to complete the development of CORLUX for the treatment of psychotic depression and Cushing’s Syndrome. In addition, we will need to raise additional funds to prepare for the commercialization of CORLUX for either of these indications, to develop a product for weight gain management associated with antipsychotic medications, and to continue and expand the development of our proprietary, selective GR-II antagonists.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anticipate that our existing capital resources, including the availability of funding under the CEFF, will be sufficient to fund our current operating plan into early 2010. However, our expectations are based on our currently planned clinical development and research programs for CORLUX and for certain of our proprietary, selective GR-II antagonists, which may change as a result of many factors, including:</w:t>
      </w:r>
    </w:p>
    <w:p>
      <w:pPr>
        <w:spacing w:after="0" w:line="2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of site selection and enrollment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our research efforts and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perform additional clinical trials and other supportive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of the approval by the FDA, if any, to market CORLUX for the treatment of the psychotic features of psychotic depression;</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 including announcements of claims of infringement, interference or litigation against us or our licensors;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growth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research development plans for our proprietary, selective GR-II antagonist;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commercialization of CORLUX and future product candidates;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reimbursement policies of third-party insurance companies or government agencies.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Consequently, we may need additional funding sooner than anticipated. In addition, we may choose to raise additional capital due to market conditions or strategic considerations even if we believe we have sufficient funds for our current or future operating plans.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cannot be certain that additional funding will be available on acceptable terms or at all. The recent market and economic conditions may make it significantly more difficult for us to raise new capital. Any additional equity financing may be dilutive to stockholders, and debt financing, if available, may involve restrictive covenants. If we obtain funds through collaborations with others, these arrangements may be on unfavorable terms or may require us to relinquish certain rights to our technologies or product candidates, including potentially our lead product candidate that we would otherwise seek to develop on our own. If adequate funds are not available, we may be required to delay, reduce the scope of or eliminate one or more of our research or development programs or we may be required to discontinue operations.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The Committed Equity Financing Facility (CEFF) that we entered into with Kingsbridge on March 25, 2008 may not be available to us at certain times, may generate a lower level of funding than we anticipate, may require us to make additional “blackout” or other payments to Kingsbridge, and will result in dilution to our stockholders.</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Kingsbridge will not be obligated to purchase shares under the CEFF unless certain conditions are met, which include a minimum price for our common stock, currently set at $1.50 per share; the accuracy of representations and warranties made to Kingsbridge; compliance with laws; the effectiveness and continued effectiveness of the resale registration statement; and the continued listing of our stock on the Nasdaq Capital Market. On June 10, 2008, the SEC declared effective our registration statement with the SEC covering the resale of approximately 3.6 million of the shares issuable under the CEFF and the shares issuable upon the exercise of the warrant. This registration statement covers approximately 37% of the 9.6 million shares of our common stock issuable pursuant to the CEFF and all of the 330,000 shares of our common stock issuable upon exercise of the warrant issued to Kingsbridge.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file additional registration statements covering the resale of additional shares of our common stock issuable pursuant to the CEFF beginning at the later of 60 days after Kingsbridge and its affiliates have resold substantially all of the securities registered for sale under this initial registration statement or six months after the effective date of this registration statement. These subsequent registration statements are subject to our ability to prepare and file them and may be subject to review and comment by the Staff of the SEC, as well as consent by our independent registered accounting firm. Therefore, the timing of these subsequent registration statements becoming effective cannot be assured. The effectiveness of these subsequent registration statements is a condition precedent to our ability to sell the shares of common stock subject to these subsequent registration statements to Kingsbridge under the CEFF. We cannot assure you that these registration statements will be declared effective or, if declared effective, that they will remain continuously effective thereafter.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Kingsbridge is permitted to terminate the CEFF if it determines that a material and adverse event has occurred affecting our business, operations, properties or financial condition and if such condition continues for a period of 10 days from the date Kingsbridge provides us notice of such material and adverse event. If we are unable to access funds through the CEFF, or if the CEFF is terminated by Kingsbridge, we may be unable to access alternative capital on favorable terms or at all.</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are entitled in certain circumstances, to deliver a blackout notice to Kingsbridge to suspend the use of the resale registration statement and prohibit Kingsbridge from selling shares thereunder. If we deliver a blackout notice in the 15 trading days following the settlement of a draw down, or if the resale registration statement is not effective in circumstances not permitted by our agreement with Kingsbridge, then we must make a payment to Kingsbridge, or issue Kingsbridge additional shares in lieu of the payment, calculated on the basis of the number of shares held by Kingsbridge (exclusive of shares that Kingsbridge may hold pursuant to exercise of the Kingsbridge warrant) and the change in the market price of our common stock during the period in which the use of the resale registration statement is suspended. If the trading price of our common stock declines during a suspension of the resale registration statement, the blackout or other payment could be significant.</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we sell shares to Kingsbridge under the CEFF, or issue shares in lieu of a blackout payment, it will have a dilutive effect on the holdings of our current stockholders, and may result in downward pressure on the price of our common stock. For each draw down under the CEFF, we will issue shares to Kingsbridge at a discount of up to 10% from the volume weighted average price of our common stock. If we draw down amounts under the CEFF when our share price is decreasing, we will need to issue more shares to raise the same amount than if our stock price was higher. Issuances in the face of a declining share price will have an even greater dilutive effect than if our share price were stable or increasing, and may further decrease our share price.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We may not be able to pursue all of our product research and development opportunities if we are unable to secure adequate funding for these programs.</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costs required to start or continue many of the programs that our intellectual property allow us to consider for further development are collectively greater that the funds currently available to us. For example, we have successfully discovered three series of compounds that are specific GR-II antagonists but, unlike CORLUX, do not appear to block the progesterone receptor. Further development of these proprietary compounds, including CORT 108297, or any further development stemming from our method of use patents may be delayed or cancelled if we determine that such development may jeopardize our ability to complete the clinical development of CORLUX for the treatment of psychotic depression or for Cushing’s Syndrome.</w:t>
      </w:r>
    </w:p>
    <w:p>
      <w:pPr>
        <w:spacing w:after="0" w:line="110"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b w:val="1"/>
          <w:bCs w:val="1"/>
          <w:color w:val="auto"/>
        </w:rPr>
        <w:t>Although our pivotal Phase 3 clinical trial in Cushing’s Syndrome only requires 50 patients, both site selection and enrollment could be an extended process. Delays in selection and initiation of clinical trial sites and/or patient enrollment could extend the time and cost for completion or inhibit our ability to complete the trial at all.</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Cushing’s Syndrome is a rare disorder. An estimated 10 to 15 of every one million people are newly diagnosed each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majority of the sites that treat patients with Cushing’s Syndrome are at academic institutions or large clinics in or affiliated with private hospitals.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Academic institutions often take a prolonged period of time to complete the administrative activities required before a clinical trial can be initiated at that site.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Because the disease is seen so infrequently, the process of identifying and screening the patients for participation in our study may be lengthy.</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delays in the process of identifying and recruiting the clinical sites or identifying and screening the patients for enrollment in the study could delay the completion of the study, increase the cost or even inhibit our ability to complete the trial at 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anticipate that we will incur continued losses for the foreseeable future.</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are a development stage company with no current source of product revenue. We have a limited history of operations and have focused primarily on clinical trials, and if the outcome of our clinical trials supports it, we plan to seek FDA regulatory clearance to market CORLUX for the treatment of the psychotic features of psychotic depression and for the treatment of Cushing’s Syndrome. Historically, we have funded our operations primarily from the sale of our equity securities. We have incurred losses in each year since our inception in 1998. As of December 31, 2008, we had an accumulated deficit of $130.1 million. We do not know when or if we will generate product revenue. Subject to our ability to raise additional funds, we expect our research and development expenses to increase in connection with the clinical trials and other development activities for CORLUX and for other product candidates. We expect to incur significant expenses related to the preparation for commercializing CORLUX and for the product’s launch, if the FDA approves our NDA. As a result, we expect that our losses will increase for the foreseeable future. We are unable to predict the extent of any future losses or whether or when we will become profitable.</w:t>
      </w:r>
    </w:p>
    <w:p>
      <w:pPr>
        <w:spacing w:after="0" w:line="11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depend on clinical investigators and clinical sites to enroll patients in our clinical trials and other third parties to manage the trials and to perform related data collection and analysis, and, as a result, we may face costs and delays outside of our control.</w:t>
      </w:r>
    </w:p>
    <w:p>
      <w:pPr>
        <w:spacing w:after="0" w:line="1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rely on clinical investigators and clinical sites to enroll patients and other third parties to manage our trials and to perform related data collection and analysis. However, we may not be able to control the timing of identification and selection of appropriate sites for our planned trials and the amount and timing of resources that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clinical sites that conduct the clinical testing may devote to our clinical trials. If our clinical investigators and clinical sites fail to enroll a sufficient number of patients in our clinical trials or fail to enroll them on our planned schedules, we will be unable to complete our trials or to complete them as planned, which could delay or prevent us from completing the clinical development of CORLUX or other development programs.</w:t>
      </w:r>
    </w:p>
    <w:p>
      <w:pPr>
        <w:spacing w:after="0" w:line="10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have signed an agreement with a contract research organization, or CRO, that is conducting our ongoing Phase 3 trial evaluating CORLUX for the treatment of the psychotic features of psychotic depression, Study 14, to supervise and monitor clinical site performance and to perform investigator supervision, data collection and analysis for this trial. We may not be able to maintain relationships with this or other CROs or with the clinical investigators and the clinical sites through the completion of all trial activities without delays in anticipated timing of trial activities or excessive expenditures. Our agreements place substantial responsibilities on these parties, which could result in excessive expenditures for our clinical trials if these parties fail to perform as expected. For example, if any of our clinical trial sites fail to comply with FDA-approved good clinical practices, we may be unable to use the data gathered at those sites. If these CROs, clinical investigators, clinical sites or other third parties do not carry out their contractual duties or obligations or fail to meet expected deadlines, or if the quality or accuracy of the clinical data they obtain is compromised due to their failure to adhere to our clinical protocols or for other reasons, we may be unable to obtain regulatory approval for, or successfully commercialize, CORLUX.</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conduct of any future clinical trials will likely also be conducted through the use of CROs and clinical research sites. The conduct, timing and cost of these trials will be subject to the same kinds of risks as discussed above.</w:t>
      </w:r>
    </w:p>
    <w:p>
      <w:pPr>
        <w:spacing w:after="0" w:line="12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In Study 14, our ongoing clinical trial evaluating CORLUX for the psychotic features of psychotic depression, we have engaged MedAvante to provide centralized psychiatric rating services. If patients are uncomfortable or unwilling to participate in the centralized rating process or if MedAvante is unable to provide services in a satisfactory manner over the course of the trial, we may not see any improvement in the accuracy and consistency of the psychiatric assessments.</w:t>
      </w:r>
    </w:p>
    <w:p>
      <w:pPr>
        <w:spacing w:after="0" w:line="142" w:lineRule="exact"/>
        <w:rPr>
          <w:sz w:val="20"/>
          <w:szCs w:val="20"/>
          <w:color w:val="auto"/>
        </w:rPr>
      </w:pPr>
    </w:p>
    <w:p>
      <w:pPr>
        <w:jc w:val="both"/>
        <w:ind w:right="720" w:firstLine="456"/>
        <w:spacing w:after="0" w:line="335" w:lineRule="auto"/>
        <w:rPr>
          <w:sz w:val="20"/>
          <w:szCs w:val="20"/>
          <w:color w:val="auto"/>
        </w:rPr>
      </w:pPr>
      <w:r>
        <w:rPr>
          <w:rFonts w:ascii="Arial" w:cs="Arial" w:eastAsia="Arial" w:hAnsi="Arial"/>
          <w:sz w:val="15"/>
          <w:szCs w:val="15"/>
          <w:color w:val="auto"/>
        </w:rPr>
        <w:t>In connection with our ongoing Phase 3 trial evaluating CORLUX for the psychotic features of psychotic depression, Study 14, we have engaged MedAvante to provide centralized psychiatric rating services. MedAvante is providing centralized psychometric assessments via high resolution video-conferencing. The use of MedAvante’s centralized rating services is expected to increase the accuracy and consistency of the psychiatric assessments.</w:t>
      </w:r>
    </w:p>
    <w:p>
      <w:pPr>
        <w:spacing w:after="0" w:line="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MedAvante has provided similar centralized rating services to companies conducting clinical studies in various psychiatric disorders. However, they have not previously provided centralized rating services to any study in patients with psychotic depression. Although Corcept and MedAvante conducted a small pilot evaluation in patients with psychotic depression to assess patient receptivity, we cannot be certain that centralized rating will be successful in the patients enrolled in our study.</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patients are uncomfortable or unwilling to participate in the centralized rating process or if MedAvante is unable to provide services in a satisfactory manner over the course of the trial, we may not see any improvement in the accuracy or reliability of the psychiatric assessments. Such a result might diminish the likelihood of a successful trial or a definitive demonstration of the efficacy of CORLUX in treating the psychotic features of psychotic depression.</w:t>
      </w:r>
    </w:p>
    <w:p>
      <w:pPr>
        <w:spacing w:after="0" w:line="10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use of psychiatric rating services provided by a third-party, MedAvante, as an additional screening element may continue to slow the pace of enrollment in Study 14.</w:t>
      </w:r>
    </w:p>
    <w:p>
      <w:pPr>
        <w:spacing w:after="0" w:line="1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Thus far we have seen a higher than anticipated incidence of potential patients who do not meet appropriate criteria for entrance into our trial for diagnostic and other clinical reasons during the screening of patients for Study 14. We believe that this is the result of improved accuracy in the screening process with the use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MedAvante centralized rating services as an additional step in the selection of patients appropriate for inclusion in the study. While we anticipate that the incidence of patients who do not meet the appropriate criteria for enrollment in the trial will decrease over time as the investigators improve their ability to identify potential patients for inclusion in the study and we identify which clinical trial sites have the greatest access to our targeted patient population, we cannot assure you that this will be the case. A continued lower enrollment rate could result in delays in the timing of anticipated completion of the trial and increased study costs.</w:t>
      </w:r>
    </w:p>
    <w:p>
      <w:pPr>
        <w:spacing w:after="0" w:line="137"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If we are unable to obtain or maintain regulatory approval, we will be limited in our ability to commercialize our product candidates, including CORLUX, and our business will be harmed.</w:t>
      </w:r>
    </w:p>
    <w:p>
      <w:pPr>
        <w:spacing w:after="0" w:line="12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research, testing, manufacturing, selling and marketing of product candidates are subject to extensive regulation by the FDA and other regulatory authorities in the United States and other countries, in which regulations differ from country to country. Obtaining and maintaining regulatory approval typically is an uncertain process, is costly and takes many years. In addition, failure to comply with the FDA and other applicable foreign and U.S. regulatory requirements may subject us to administrative or judicially imposed sanctions. These include warning letters, civil and criminal penalties, injunctions, product seizure or detention, product recalls, total or partial suspension of production, and refusal to approve pending NDAs, or supplements to approved NDAs.</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Regulatory approval of an NDA or NDA supplement is never guaranteed. Despite the time, resources and effort expended, failure can occur at any stage. The FDA has substantial discretion in the approval process for human medicines. The FDA can deny, delay or limit approval of a product candidate for many reasons including:</w:t>
      </w:r>
    </w:p>
    <w:p>
      <w:pPr>
        <w:spacing w:after="0" w:line="59"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not find that the candidate is safe;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not find data from the clinical or preclinical testing to be sufficient;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not approve our or our third party manufacturers’ processes or facilities.</w:t>
      </w:r>
    </w:p>
    <w:p>
      <w:pPr>
        <w:spacing w:after="0" w:line="17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Future governmental action or changes in FDA policy or personnel may also result in delays or rejection of an NDA in the United States. In addition, because the only currently FDA-approved use of mifepristone is the termination of pregnancy, we expect that the label for CORLUX will include some limitations, including a warning that it should not be used by pregnant women or women seeking to become pregnant.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receive regulatory approval for our product candidates, including CORLUX, we will also be subject to ongoing FDA obligations and continued regulatory oversight and review, such as continued safety reporting requirements; and we may also be subject to additional FDA post-marketing obligations. If we are not able to maintain regulatory compliance, we may not be permitted to market our product candidates.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regulatory approvals that we receive for our product candidates may also be subject to limitations on the indicated uses for which the medicine may be marketed or contain requirements for potentially costly post-marketing follow-up studies. In addition, if the FDA approves any of our product candidates, the labeling, packaging, adverse event reporting, storage, advertising, promotion and record-keeping for the medicine will be subject to extensive regulatory requirements. The subsequent discovery of previously unknown problems with the medicine, including adverse events of unanticipated severity or frequency, may result in restrictions on the marketing of the medicine, and could include withdrawal of the medicine from the market.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regulatory approval in foreign jurisdictions will prevent us from commercializing our product candidates abroad.</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intend to commercialize our product candidates in international markets. Outside the United States, we can commercialize a product only if we receive a marketing authorization and, in some cases, pricing approval, from the appropriate regulatory authorities. This foreign regulatory approval process includes all of the risks associated with the FDA approval process, and, in some cases, additional risks. The approval procedure varies among countries and can involve additional testing, and the time required to obtain approval may differ from that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required to obtain FDA approval. We have not taken any actions to obtain foreign approvals. We may not develop our product candidates in the clinic in order to obtain foreign regulatory approvals on a timely basis, if at all.</w:t>
      </w:r>
    </w:p>
    <w:p>
      <w:pPr>
        <w:spacing w:after="0" w:line="132"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Approval by the FDA does not ensure approval by regulatory authorities in other countries, and approval by one foreign regulatory authority does not ensure approval by regulatory authorities in other foreign countries or by the FDA. We may not be able to file for regulatory approvals and may not receive necessary approvals to commercialize our product candidates in any market.</w:t>
      </w:r>
    </w:p>
    <w:p>
      <w:pPr>
        <w:spacing w:after="0" w:line="13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“fast track” designation for the development program of CORLUX for the treatment of the psychotic features of psychotic depression may not lead to a faster development or regulatory review or approval process.</w:t>
      </w:r>
    </w:p>
    <w:p>
      <w:pPr>
        <w:spacing w:after="0" w:line="12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 human medicine is intended for the treatment of a serious or life-threatening condition and the medicine demonstrates the potential to address unmet medical needs for this condition, the sponsor of an IND may apply for FDA “fast track” designation for a particular indication. Marketing applications submitted by sponsors of product candidates in fast track development may qualify for expedited FDA review under the policies and procedures offered by the FDA, but the fast track designation does not assure any such qualification. Although we have obtained a fast track designation from the FDA for CORLUX for the treatment of the psychotic features of psychotic depression, we may not experience a faster development process, review or approval compared to applications considered for approval under conventional FDA procedures. In addition, the FDA may withdraw our fast track designation at any time. If we lose our fast track designation, the approval process may be delayed. In addition, our fast track designation does not guarantee that we will qualify for or be able to take advantage of the expedited review procedures and does not increase the likelihood that CORLUX will receive regulatory approval for the treatment of the psychotic features of psychotic depression.</w:t>
      </w:r>
    </w:p>
    <w:p>
      <w:pPr>
        <w:spacing w:after="0" w:line="11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Even if we receive approval for the marketing and sale of CORLUX for the treatment of the psychotic features of psychotic depression, or endogenous Cushing’s Syndrome, CORLUX may never be accepted as a treatment for the approved indications.</w:t>
      </w:r>
    </w:p>
    <w:p>
      <w:pPr>
        <w:spacing w:after="0" w:line="1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Many factors may affect the market acceptance and commercial success of CORLUX for the treatment of the psychotic features of psychotic depression or for any other approved indication.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Even if the FDA approves CORLUX for the treatment of the psychotic features of psychotic depression, for the treatment of Cushing’s Syndrome or any other indication, physicians may not adopt CORLUX. Physicians will recommend the use of CORLUX only if they determine, based on experience, clinical data, side effect profiles and other factors, that it is preferable to other products or treatments then in use. Acceptance of CORLUX among influential practitioners may be essential for market acceptance of CORLUX.</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factors that may affect the market acceptance and commercial success of CORLUX include:</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CORLUX, including any side effects, as compared to alternative treatment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for CORLUX;</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cost-effectiveness of CORLUX and the availability of third-party insurance coverage and reimbursement, in particular from government payors such as Medicare and Medicaid, for patients using CORLUX;</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entry of CORLUX relative to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intentional restriction of distribution of CORLUX to physicians treating the target patient population;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success of our sales and marketing efforts;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adoption of CORLUX by physicians and by target patient population;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concerning CORLUX, RU-486 or mifepristone.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failure of CORLUX to achieve market acceptance would prevent us from generating meaningful product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perception of the active ingredient in CORLUX, mifepristone or RU-486, may limit our ability to market and sell CORLUX.</w:t>
      </w:r>
    </w:p>
    <w:p>
      <w:pPr>
        <w:spacing w:after="0" w:line="1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active ingredient in CORLUX, mifepristone, or RU-486, is used to terminate pregnancy. As a result, mifepristone has been and continues to be the subject of considerable ethical and political debate in the United States and elsewhere. Public perception of mifepristone may limit our ability to engage alternative manufacturers and may limit the commercial acceptance of CORLUX by patients and physicians. Even though we intend to create measures to minimize the likelihood of the prescribing of CORLUX to a pregnant woman, physicians may decline to prescribe CORLUX to a woman simply to avoid altogether any risk of unintentionally terminating a pregnancy. We intend to create measures for controlling the distribution of CORLUX to reduce the potential for diversion. However, controlled distribution may negatively impact sales of CORLUX.</w:t>
      </w:r>
    </w:p>
    <w:p>
      <w:pPr>
        <w:spacing w:after="0" w:line="114"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b w:val="1"/>
          <w:bCs w:val="1"/>
          <w:color w:val="auto"/>
        </w:rPr>
        <w:t>We have no manufacturing capabilities and we currently depend on third parties to manufacture the active ingredient and the tablets for CORLUX. The tablet manufacturer is a single source supplier. If these suppliers are unable to continue manufacturing CORLUX and we are unable to contract quickly with alternative sources, our business will be harmed.</w:t>
      </w:r>
    </w:p>
    <w:p>
      <w:pPr>
        <w:spacing w:after="0" w:line="13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currently have no experience in, and we do not own facilities for, nor do we plan to develop facilities for, manufacturing any products. We have agreements with two manufacturers of the active pharmaceutical ingredient, or API, of mifepristone and an agreement with a tablet manufacturer for development quantities of CORLUX. The tablet manufacturer is a single source supplier to us. Our current arrangements with these manufacturers are terminable by either party at any time. Although we anticipate engaging our current tablet supplier to produce commercial quantities of CORLUX, we cannot guarantee that we will enter into an agreement with them on terms acceptable to us. If we are unable, for whatever reason, to obtain the active pharmaceutical ingredient or CORLUX tablets from our contract manufacturers, we may not be able to manufacture our required quantities or identify alternate manufacturers of mifepristone or CORLUX tablets in a timely manner or on reasonable terms, if at all</w:t>
      </w:r>
      <w:r>
        <w:rPr>
          <w:rFonts w:ascii="Arial" w:cs="Arial" w:eastAsia="Arial" w:hAnsi="Arial"/>
          <w:sz w:val="16"/>
          <w:szCs w:val="16"/>
          <w:b w:val="1"/>
          <w:bCs w:val="1"/>
          <w:color w:val="auto"/>
        </w:rPr>
        <w:t>.</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If our third-party manufacturers of CORLUX fail to comply with FDA regulations or otherwise fail to meet our requirements, our product development and commercialization efforts may be delayed.</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depend on third party manufacturers to supply the active pharmaceutical ingredient in CORLUX and to manufacture CORLUX tablets. These suppliers and manufacturers must comply with the FDA’s current Good Manufacturing Practices, or cGMP, regulations and guidelines. Our suppliers and manufacturers may encounter difficulties in achieving quality control and quality assurance and may experience shortages of qualified personnel. Their failure to follow cGMP or other regulatory requirements and to document their compliance with cGMP may lead to significant delays in the availability of products for commercial use or clinical study or the termination or hold on a clinical study, or may delay or prevent filing or approval of marketing applications for CORLUX.</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Failure of our third party suppliers and manufacturers or us to comply with applicable regulations could result in sanctions being imposed on us, including fines, injunctions, civil penalties, failure of regulatory authorities to grant marketing approval of our product candidates, delays, suspension or withdrawal of approvals, license revocation, seizures or recalls of products, operating restrictions and criminal prosecutions, any of which could harm our business. If the operations of any current or future supplier or manufacturer were to become unavailable for any reason, commercialization of CORLUX could be delayed and our revenue from product sales could be reduced.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use a different third-party manufacturer to produce commercial quantities of CORLUX than we are using in our clinical trials. The FDA may require us to conduct a study to demonstrate that the tablets used in our clinical trials are equivalent to the final commercial product. If we are unable to establish that the tablets are equivalent or if the FDA disagrees with the results of our study, commercial launch of CORLUX would be delayed.</w:t>
      </w:r>
    </w:p>
    <w:p>
      <w:pPr>
        <w:spacing w:after="0" w:line="10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If we or others identify side effects after our product candidates are on the market, we may be required to perform lengthy additional clinical trials, change the labeling of our future products or withdraw our future products from the market, any of which would hinder or preclude our ability to generate revenues.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identify side effects after any of our product candidates are on the market:</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reformulate our future products, conduct additional clinical trials, make changes in labeling of such products or implement changes to or obtain re-approvals of our manufacturing facilities;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experience a significant drop in the sales of the affected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in the marketplace may suffer;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become the target of lawsuits, including class action lawsuits.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Any of these events could harm or prevent sales of the affected products or could increase the costs and expenses of commercializing and marketing these product candidates.</w:t>
      </w:r>
    </w:p>
    <w:p>
      <w:pPr>
        <w:spacing w:after="0" w:line="126"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If CORLUX or future product candidates conflict with the patents of others or if we become involved in other intellectual property disputes, we could have to engage in costly litigation or obtain a license and we may be unable to commercialize our product candidates.</w:t>
      </w:r>
    </w:p>
    <w:p>
      <w:pPr>
        <w:spacing w:after="0" w:line="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success depends in part on our ability to obtain and maintain adequate patent protection for the use of CORLUX for the treatment of the psychotic features of psychotic depression and other potential uses of GR-II antagonists. If we do not adequately protect our intellectual property, competitors may be able to use our intellectual property and erode our competitive advantage.</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To date, we own seven issued U.S. patents and have exclusively licensed three issued U.S. patents, in each case along with a number of corresponding foreign patents or patent applications. We also have six U.S. method of use patent applications for GR-II antagonists and three composition of matter patent applications covering specific GR-II antagonists. We have applied, and will continue to apply, for patents covering our product candidates as we deem appropriate.</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exclusively licensed three issued U.S. patents from Stanford University for the use of GR-II antagonists in the treatment of psychotic major depression, which is commonly referred to as psychotic depression, cocaine-induced psychosis and early dementia, including early Alzheimer’s disease. We bear the costs of protecting and defending the rights to these patents. In order to maintain the exclusive license to these patents until their expiration, we are obligated to make milestone and royalty payments to Stanford University. We are currently in compliance with our obligations under this agreement. If we become noncompliant, we may lose the right to commercialize CORLUX for the treatment of psychotic depression, cocaine-induced psychosis and early dementia and our business would be materially harmed. In addition, if Stanford University were to terminate our CORLUX license due to breach of the license on our part, we would not be able to commercialize CORLUX for the treatment of the psychotic features of psychotic depression, cocaine-induced psychosis or early dementia.</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patent applications and patents licensed or issued to us may be challenged by third parties and our patent applications may not result in issued patents. For example, in 2004, Akzo Nobel filed an observation challenging the claims of our exclusively licensed European patent application with claims directed to psychotic depression. In 2005, we filed a rebuttal to the EPO that responded to the points raised by Akzo Nobel. In February 2006, the EPO allowed our patent application and in July 2006, this patent was issued. In April 2007 we received notification that there will be no opposition proceedings in Europe in regards to this patent.</w:t>
      </w:r>
    </w:p>
    <w:p>
      <w:pPr>
        <w:spacing w:after="0" w:line="143"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Our presently pending and future patent applications may not issue as patents, and any patent issued to us may be challenged, invalidated, held unenforceable or circumvented. For example, the arguments presented by Akzo Nobel could be raised in the United States either before the U.S. Patent and Trademark Office or in a court of law. Furthermore, the claims in patents which have been issued to us, or which may be issued to us in the future, may not be sufficiently broad to prevent third parties from producing competing products. In addition, the laws of various foreign countries in which we compete may not protect our intellectual property to the same extent as do the laws of the United States. If we fail to obtain adequate patent protection for our proprietary technology, our competitors may produce competing products based on our technology, which would impair our ability to compete.</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a third party were successful in asserting an infringement claim against us, we could be forced to pay damages and prevented from developing, manufacturing or marketing our potential products. We do not have liability insurance for patent infringements. A third party could require us to obtain a license to continue to use their intellectual property, and we may not be able to do so on commercially acceptable terms, or at all. We believe that significant litigation will continue in our industry regarding patent and other intellectual property rights. If we become involved in litigation, it could consume a substantial portion of our resources. Regardless of the merit of any particular claim, defending a lawsuit takes significant time, is expensive and diverts management’s attention from other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trade secrets and proprietary information, our ability to compete in the market could be diminished.</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patents, we rely on a combination of confidentiality, nondisclosure and other contractual provisions, laws protecting trade secrets and security measures to protect our trade secrets and proprietary information. Nevertheless, these measures may not adequately protect our trade secrets or other proprietary information. If they do not adequately protect our rights, third parties could use our proprietary information, which could diminish our ability to compete in the market. In addition, employees, consultants and others who participate in the development of our product candidates may breach their agreements with us regarding our trade secrets and other proprietary information, and we may not have adequate remedies for the breach. We also realize that our trade secrets may become known through means not currently foreseen. Notwithstanding our efforts to protect our trade secrets and proprietary information, our competitors may independently develop similar or alternative products that are equal or superior to our product candidates without infringing on any of our proprietary information or trade secrets.</w:t>
      </w:r>
    </w:p>
    <w:p>
      <w:pPr>
        <w:spacing w:after="0" w:line="11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Our licensed patent covering the use of mifepristone to treat psychotic depression is a method of use patent rather than a composition of matter patent, which increases the risk that physicians will prescribe another manufacturer’s mifepristone for the treatment of psychotic depression rather than CORLUX.</w:t>
      </w:r>
    </w:p>
    <w:p>
      <w:pPr>
        <w:spacing w:after="0" w:line="1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an exclusive license from Stanford University to a patent covering the use of GR-II antagonists, including mifepristone, for the treatment of psychotic depression. A method of use patent covers only a specified use of a particular compound, not a particular composition of matter. All of our issued patents and all but three of our nine U.S. patent applications are method of use patents. Because none of our issued patents covers the composition of mifepristone or any other compound, we cannot prevent others from commercializing mifepristone or any other GR-II antagonist not covered by our composition of matter patent applications in indications not covered by our method of use patents. If others receive approval to manufacture and market mifepristone or any other GR-II antagonist, physicians could prescribe mifepristone or any other GR-II</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antagonist for patients with psychotic depression instead of CORLUX. Although any such “off-label” use would violate our licensed patent, effectively monitoring compliance with our licensed patent may be difficult and costly. In addition, if others develop a treatment for psychotic depression that works through a mechanism which does not involve the GR-II receptor, physicians could prescribe that treatment instead of CORLUX.</w:t>
      </w:r>
    </w:p>
    <w:p>
      <w:pPr>
        <w:spacing w:after="0" w:line="10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composition of matter patents on our families of novel selective glucocorticoid antagonists may not be issued and we would not be able to prevent competition from others.</w:t>
      </w:r>
    </w:p>
    <w:p>
      <w:pPr>
        <w:spacing w:after="0" w:line="12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filed composition of matter patent claims on three families of novel selective glucocorticoid antagonists but not all of these have been issued. These have been filed internationally, with applications for two of the three families already granted in Europe. In the United States, applications for two of the three families are in active prosecution, and are moving toward allowance. Examination has not yet begun in the U.S. on our third novel selective GR-II family. We cannot be certain that these patents will be issued to us. If these patents are not issued we may not be able to prevent others from developing competing compounds. The competing products could be prescribed by physicians instead of those developed by us.</w:t>
      </w:r>
    </w:p>
    <w:p>
      <w:pPr>
        <w:spacing w:after="0" w:line="11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may be subject to fines, penalties or injunctions if we are determined to be promoting the use of our products for unapproved or “off-label” uses, resulting in damage to our reputation and business.</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of the promotion of a drug for a use that has not been cleared or approved by FDA. Use of a drug outside its approved indications is known as “off-label” use. Physicians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and result in substantial damage awards against us.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Our efforts to discover, develop and commercialize new product candidates beyond CORLUX are at a very early stage. If we fail to identify and develop additional uses for GR-II antagonists, we may be unable to market additional products.</w:t>
      </w:r>
    </w:p>
    <w:p>
      <w:pPr>
        <w:spacing w:after="0" w:line="12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To develop additional potential sources of revenue, we believe that we must identify and develop additional product candidates. We own or have exclusively licensed issued U.S. patents covering the use of GR-II antagonists to treat psychotic depression, weight gain following treatment with antipsychotic medication, early dementia, mild cognitive impairment, psychosis associated with cocaine addiction, delirium, ECT, gastroesophageal reflux disease, Down’s Syndrome and stress disorders, in addition to six U.S. method of use patent applications covering GR-II antagonists for the treatment of a number of other metabolic and psychiatric disorders and three U.S. composition of matter patent applications covering specific GR-II antagonists.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not develop or continue to develop product candidates for any of the indications or compounds covered by our patents and patent applications. Typically, there is a high rate of attrition for product candidates in preclinical and clinical trials, so our product development efforts may not lead to commercially viable products. The use of GR-II antagonists may not be effective to treat these conditions or any other indications. In addition,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could discover that the use of GR-II antagonists in these patient populations has unacceptable side effects or is otherwise not safe.</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may elect to enter into collaboration arrangements with respect to one or more of our product candidates. If we do enter into such an arrangement, we would be dependent on a collaborative partner for the success of the product candidates developed under the arrangement. Any future collaborative partner may fail to successfully develop or commercialize a product candidate under a collaborative arrangement.</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only have significant clinical experience with CORLUX and we may determine that CORLUX is not desirable for uses other than for the treatment of the psychotic features of psychotic depression or Cushing’s Syndrome. In that event, we would have to identify and may need to secure rights to a different GR-II antagonist. For example, we do not intend to develop CORLUX for mitigation of the weight gain associated with the use of Zyprexa, Risperdal, or other atypical antipsychotics, even though we have reported positive results in the proof of concept studies described elsewhere in this Annual Report on Form 10-K. We are pursuing other GR-II antagonists for this use and may pursue additional compounds. The compounds developed pursuant to our preclinical and discovery research programs, including CORT 108297, may fail to generate commercially viable product candidates in spite of the resources we may dedicate to the program. Even if product candidates are identified, we may abandon further development efforts before we reach clinical trials or after expending significant expense and time conducting clinical trials due to financial constraints, concerns over safety, efficacy of the product candidates or for other reasons. Moreover, governmental authorities may enact new legislation or regulations that could limit or restrict our development efforts. If we are unable to successfully discover and commercialize new uses for GR-II antagonists, we may be unable to generate sufficient revenue to support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substantial exposure to product liability claims and may not have adequate insurance to cover those claims.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be subject to product liability or other claims based on allegations that the use of our products has resulted in adverse effects or that our product candidates are not effective, whether by participants in our clinical trials for CORLUX or other product candidates, or by patients using our future products. A product liability claim may damage our reputation by raising questions about our product candidates’ safety or efficacy and could limit our ability to sell a product by preventing or interfering with product commercialization. In some cases, less common adverse effects of a pharmaceutical product are not known until long after the FDA approves the product for marketing. The active ingredient in CORLUX is used to terminate pregnancy. Therefore, necessary and strict precautions must be taken by clinicians using the medicine in our clinical trials and, if approved by the FDA, physicians prescribing the medicine to women with childbearing potential, to insure that the medicine is not administered to pregnant women. The failure to observe these precautions could result in significant product claims.</w:t>
      </w:r>
    </w:p>
    <w:p>
      <w:pPr>
        <w:spacing w:after="0" w:line="1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only limited product liability insurance coverage, with limits that we believe to be customary for a development stage company. We intend to expand our product liability insurance coverage to any product candidates for which we obtain marketing approval. However, this insurance may be prohibitively expensive or may not fully cover our potential liabilities. Our inability to obtain adequate insurance coverage at an acceptable cost could prevent or inhibit the commercialization of our product candidates. Defending a lawsuit could be costly and significantly divert management’s attention from conducting our business. If a third party successfully sues us for any injury caused by our product candidates, our liability could exceed our total assets.</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CORLUX is approved and we are unable to obtain acceptable prices or adequate coverage and reimbursement for it from third-party payors, we will be unable to generate significant revenues.</w:t>
      </w:r>
    </w:p>
    <w:p>
      <w:pPr>
        <w:spacing w:after="0" w:line="12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There is significant uncertainty related to the availability of third-party insurance coverage and reimbursement for newly approved medications. The commercial success of our potential medications in both domestic and international markets is dependent on whether third-party coverage and reimbursement is available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for them. Government payors, including Medicare and Medicaid, health maintenance organizations and other third-party payors are increasingly attempting to contain healthcare costs by limiting both coverage and the level of reimbursement of new medicines, and, as a result, they may not cover or provide adequate payment for our medications. The continuing efforts of government and other third-party payors to contain or reduce the costs of health care may limit our revenues. Our dependence on the commercial success of CORLUX alone makes us particularly susceptible to any cost containment or reduction efforts. Accordingly, even if CORLUX or future product candidates are approved for commercial sale, unless government and other third-party payors provide adequate coverage and reimbursement for our future products, physicians may not prescribe them. We intend to sell CORLUX directly to hospitals if we receive FDA approval. As a result, we will need to obtain approval from hospital formularies to receive wide-spread third-party coverage and reimbursement. If we fail to obtain that approval, we will be unable to generate significant revenues.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some foreign markets, pricing and profitability of prescription pharmaceuticals are subject to government control. In the United States, we expect that there will continue to be federal and state proposals for similar controls. Also, the trends toward managed health care in the United States and proposed legislation intended to reduce the cost of government insurance programs could significantly influence the purchase of health care services and products and may result in lower prices for our future products or the exclusion of such products from reimbursement programs.</w:t>
      </w:r>
    </w:p>
    <w:p>
      <w:pPr>
        <w:spacing w:after="0" w:line="107" w:lineRule="exact"/>
        <w:rPr>
          <w:sz w:val="20"/>
          <w:szCs w:val="20"/>
          <w:color w:val="auto"/>
        </w:rPr>
      </w:pPr>
    </w:p>
    <w:p>
      <w:pPr>
        <w:ind w:right="460"/>
        <w:spacing w:after="0" w:line="339" w:lineRule="auto"/>
        <w:rPr>
          <w:sz w:val="20"/>
          <w:szCs w:val="20"/>
          <w:color w:val="auto"/>
        </w:rPr>
      </w:pPr>
      <w:r>
        <w:rPr>
          <w:rFonts w:ascii="Arial" w:cs="Arial" w:eastAsia="Arial" w:hAnsi="Arial"/>
          <w:sz w:val="16"/>
          <w:szCs w:val="16"/>
          <w:b w:val="1"/>
          <w:bCs w:val="1"/>
          <w:color w:val="auto"/>
        </w:rPr>
        <w:t>We face competition from companies with substantial financial, technical and marketing resources, which could limit our future revenues from the commercialization of CORLUX for the treatment of the psychotic features of psychotic depression or for other indications.</w:t>
      </w:r>
    </w:p>
    <w:p>
      <w:pPr>
        <w:spacing w:after="0" w:line="8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approved for commercial use, CORLUX as a treatment for psychotic depression will compete with established treatments, including ECT and combination medicinal therapy.</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Combination medicinal therapy consists of the use of antipsychotic and antidepressant medicines, not currently approved for the treatment of psychotic depression. The antipsychotics are prescribed for off-label use by physicians to treat the psychotic features of psychotic depression, which is the clinical target of CORLUX. Antipsychotics include Bristol-Myers Squibb’s Abilify, Novartis’ Clozaril, Pfizer’s Geodon and Navane, Ortho-McNeil’s Haldol, Janssen Pharmaceutica’s Risperdal, AstraZeneca’s Seroquel, GlaxoSmithKline’s Stelazine and Thorazine, Mylan’s Mellaril, Schering Corporation’s Trilafon and Eli Lilly’s Zyprexa. CORLUX may not compete effectively with these established treatments. We are aware of one clinical trial conducted by the pharmaceutical division of Akzo Nobel, for a new chemical entity for the treatment of psychotic depression. This new chemical entity is a GR-II antagonist, the commercial use of which would be covered by our patent. As discussed above, in 2004, Akzo Nobel filed an observation in our exclusively licensed European patent application with claims directed to psychotic depression, in which Akzo Nobel challenged the claims of that patent application. In 2005, we filed a rebuttal to the EPO that responded to the points raised by Akzo Nobel. In February 2006, the EPO allowed our patent application. In July 2006, the patent was issued. We are not aware of any public disclosures by any company, other than Akzo Nobel, regarding the development of new products to treat psychotic depression.</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present and potential competitors include major pharmaceutical companies, as well as specialized pharmaceutical firms, universities and public and private research institutions. Moreover, we expect competition to intensify as technical advances are made. These competitors, either alone or with collaborative parties, may succeed with the development and commercialization of medicinal products that are superior to and more cost-effective than CORLUX. Many of our competitors and related private and public research and academic institutions have greater experience, more financial resources and larger research and development staffs than we do. In addition, many of these competitors, either alone or together with their collaborative partners, have significantly greater experience than we do in developing human medicines, obtaining regulatory approvals, manufacturing and commercializing products.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Accordingly, CORLUX may not be an effective competitor against established treatments and our present or potential competitors may succeed in developing medicinal products that are superior to CORLUX or render CORLUX obsolete or non-competitive. If we are unable to establish CORLUX as a superior and cost-effective treatment for psychotic depression, or any future use, we may be unable to generate the revenues necessary to support our business.</w:t>
      </w:r>
    </w:p>
    <w:p>
      <w:pPr>
        <w:spacing w:after="0" w:line="8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We may face competition from other companies who attempt to develop mifepristone for the treatment of Cushing’s Syndrome, which could limit our future revenues from the commercialization of CORLUX for the treatment of that disorder and which could have a negative impact on future revenues from the commercialization of CORLUX for any indication.</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aware that Laboratoire HRA Pharma has received an Orphan Drug Designation in the United States and Europe for the use of mifepristone to treat a subtype of Cushing’s Syndrome and has begun a Phase II clinical trial in Europe and the United States for this indication. If this product is approved for commercialization before CORLUX, our potential future revenue could be reduced by the possibility of off-label use of mifepristone for psychotic depression or for other subtypes of Cushing’s Syndrome.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Rapid technological change could make our product candidates obsolete.</w:t>
      </w:r>
    </w:p>
    <w:p>
      <w:pPr>
        <w:spacing w:after="0" w:line="1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Pharmaceutical technologies have undergone rapid and significant change and we expect that they will continue to do so. Our future will depend in large part on our ability to maintain a competitive position with respect to these technologies. Any products and processes that we develop may become obsolete or uneconomical before we recover any or all expenses incurred in connection with their development. Rapid technological change could make our product candidates obsolete or uneconomical, which could materially adversely affect our business, financial condition and results of operations.</w:t>
      </w:r>
    </w:p>
    <w:p>
      <w:pPr>
        <w:spacing w:after="0" w:line="10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have no sales staff and limited marketing activities and will need to develop sales and marketing capabilities to successfully commercialize CORLUX and any future uses of GR-II antagonists.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employees have limited experience in marketing or selling pharmaceutical products and we currently have no sales staff and limited marketing activities. To achieve commercial success for any approved product, we must either develop a sales and marketing force or enter into arrangements with others to market and sell our future products. We currently plan to establish a small, specialty sales force to market and sell CORLUX in the United States for the treatment of the psychotic features of psychotic depression and for Cushing’s Syndrome. However, our sales and marketing efforts may not be successful or cost-effective. In the event that the commercial launch of CORLUX is delayed due to FDA requirements or other reasons, we may establish a sales and marketing force too early relative to the launch of CORLUX. This may be expensive, and our investment would be lost if the sales and marketing force could not be retained. If our efforts to develop a sales and marketing force are not successful, cost-effective and timely, we may not achieve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to increase the size of our organization, and we may experience difficulties in managing growth.</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we expand our research and development efforts and develop a sales and marketing organization, we expect to experience growth, which may strain our operations, product development and other managerial and operating resources. Future growth will impose significant added responsibilities on members of management, including the need to identify, recruit, maintain and integrate additional employees. To date, we have relied on a small management team, including a number of part-time contributors. Our future financial performance and our ability to compete effectively will depend, in part, on our ability to manage any future growth effectively.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that end, we must be able to:</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research and development efforts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integrate additional management, clinical development, administrative and sales and marketing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the size and composition of our management team;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controls;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and train additional qualified personnel.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be able to accomplish these tasks, and our failure to accomplish any of them could harm our business.</w:t>
      </w:r>
    </w:p>
    <w:p>
      <w:pPr>
        <w:spacing w:after="0" w:line="16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we lose our key personnel or are unable to attract and retain additional skilled personnel, we may be unable to pursue our product development and commercialization efforts.</w:t>
      </w:r>
    </w:p>
    <w:p>
      <w:pPr>
        <w:spacing w:after="0" w:line="12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depend substantially on the principal members of our management and scientific staff, including Joseph K. Belanoff, M.D., our Chief Executive Officer, and Robert L. Roe, M.D., our President. We do not have agreements with any of our executive officers that provide for their continued employment with us or employment insurance covering any of our key personnel. Any officer or employee can terminate his or her relationship with us at any time and work for one of our competitors. The loss of these key individuals could result in competitive harm because we could experience delays in our product research, development and commercialization efforts without their expertise.</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Our ability to operate successfully and manage our potential future growth depends significantly upon retaining key research, technical, sales, marketing, managerial and financial personnel, and attracting and retaining additional highly qualified personnel in these areas. We face intense competition for such personnel from numerous companies, as well as universities and nonprofit research organizations in the highly competitive northern California business area. Although we believe that we have been successful in attracting and retaining qualified personnel to date, we may not be able to attract and retain sufficient qualified personnel in the future. The inability to attract and retain these personnel could result in delays in the research, development and commercialization of our potential products.</w:t>
      </w:r>
    </w:p>
    <w:p>
      <w:pPr>
        <w:spacing w:after="0" w:line="13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we acquire other GR-II antagonists or other technologies or potential products, we will incur a variety of costs and may never realize the anticipated benefits of the acquisition.</w:t>
      </w:r>
    </w:p>
    <w:p>
      <w:pPr>
        <w:spacing w:after="0" w:line="12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appropriate opportunities become available, we may attempt to acquire other GR-II antagonists, particularly GR-II antagonists that do not terminate pregnancy. We may also be able to acquire other technologies or potential products that are complementary to our operating plan. We currently have no commitments, agreements or plans for any acquisitions. The process of acquiring rights to another GR-II antagonist or any other potential product or technology may result in unforeseen difficulties and expenditures and may absorb significant management attention that would otherwise be available for ongoing development of our business. In addition, we may fail to realize the anticipated benefits of any acquired potential product or technology. Future acquisitions could dilute our stockholders’ ownership interest in us and could cause us to incur debt, expose us to future liabilities and result in amortization or other expenses related to goodwill and other intangible assets.</w:t>
      </w:r>
    </w:p>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occurrence of a catastrophic disaster or other similar events could cause damage to our or our manufacturers’ facilities and equipment, which could require us to cease or curtail operations.</w:t>
      </w:r>
    </w:p>
    <w:p>
      <w:pPr>
        <w:spacing w:after="0" w:line="1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our executive offices are located in the San Francisco Bay Area and some of our current manufacturers are located in earthquake-prone areas, our business is vulnerable to damage from various types of disasters or other similarly disruptive events, including earthquake, fire, flood, power loss and communications failures. In addition, political considerations relating to mifepristone may put us and our manufacturers at increased risk for terrorist attacks, protests or other disruptive events. If any disaster or other similar event were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to occur, we may not be able to operate our business and our manufacturers may not be able to produce our product candidates. Our insurance may not be adequate to cover, and our insurance policies may exclude coverage for, our losses resulting from disasters or other business interruptions.</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Our Stock</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market price of our common stock may be highly volatile due to the limited number of shares of our common stock held by non-affiliates of the Company or factors influencing the stock market and opportunities for sale at any given time may be limited.</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cannot assure you that an active trading market for our common stock will exist at any time. Holders of our common stock may not be able to sell shares quickly or at the market price if trading in our common stock is not active. During the 52-week period ended March 15, 2009, our average daily trading volume has been approximately 30,000 shares and the intra-day sales prices per share of our common stock ranged from $0.75 to $4.29. As of March 15, 2009, our officers, directors and principal stockholders control approximately 65% of our common stock. The trading price of our common stock is likely to be highly volatile and could be subject to wide fluctuations in price in response to various factors, many of which are beyond our control, including:</w:t>
      </w:r>
    </w:p>
    <w:p>
      <w:pPr>
        <w:spacing w:after="0" w:line="35"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cash and short-term investment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timing and results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regulatory approvals of our product candidates or of competing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 candidates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expected or actual timing of our development programs or our competitors’ potential development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collaborators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products or services introduced or announced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and economic conditions, including those seen as a result of the recent worldwide financial credit crisis;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or trends in the biotechnology and pharmaceutical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collaborations;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number of shares of our common stock held by our non-affiliates;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compliance with the listing requirements of the stock exchange on which we are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of, or expectation of, additional financing efforts;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the stock market in general, the Nasdaq Capital Market and the market for biotechnology and life sciences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we fail to continue to meet all applicable Nasdaq Capital Market requirements, our stock could be delisted by the Nasdaq Capital Market. If delisting occurs, it would adversely affect the market liquidity of our common stock and harm our business.</w:t>
      </w:r>
    </w:p>
    <w:p>
      <w:pPr>
        <w:spacing w:after="0" w:line="1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are unable to meet any of the Nasdaq listing requirements in the future, the Nasdaq Capital Market staff could determine to delist our common stock, the delisting could adversely affect the market liquidity of our common stock and the market price of our common stock could decrease. Such delisting could also adversely affect our ability to obtain financing for the continuation of our operations and could result in the loss of confidence by investors, suppliers and employees.</w:t>
      </w:r>
    </w:p>
    <w:p>
      <w:pPr>
        <w:spacing w:after="0" w:line="13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Securities analysts may not continue to provide or initiate coverage of our common stock or may issue negative reports, and this may have a negative impact on our common stock’s market price.</w:t>
      </w:r>
    </w:p>
    <w:p>
      <w:pPr>
        <w:spacing w:after="0" w:line="1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Securities analysts currently covering our common stock may discontinue research coverage. Additional securities analysts may elect not to provide research coverage of our common stock. A lack of research coverage may adversely affect our common stock’s market price. The trading market for our common stock may be affected in part by the research and reports that industry or financial analysts publish about us or our business. If one or more of the analysts who elects to cover us downgrades our stock, our stock price would likely decline rapidly and significantly. If one or more of these analysts ceases coverage of our company, we could lose visibility in the market, which in turn could cause our stock price to decline. In addition, rules mandated by the Sarbanes-Oxley Act of 2002, and a global settlement reached in 2003 between the SEC, other regulatory analysts and a number of investment banks have led to a number of fundamental changes in how analysts are reviewed and compensated. In particular, many investment banking firms are required to contract with independent financial analysts for their stock research. It may be difficult for companies such as ours with smaller market capitalizations to attract independent financial analysts that will cover our common stock. This could have a negative effect on our market price.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 of a substantial number of shares of our common stock may cause the price of our common stock to decline.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Sales of a substantial number of shares of our common stock in the public market could harm the market price of our common stock. As additional shares of our common stock become available for resale in the public market, the supply of our common stock will increase, which could decrease the price. Substantially all of the shares of our common stock are eligible for sale, subject to applicable volume and other resale restrictions.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required to pay significant amounts if we are not able to meet our obligations under our outstanding registration rights agreements.</w:t>
      </w:r>
    </w:p>
    <w:p>
      <w:pPr>
        <w:spacing w:after="0" w:line="20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registration rights agreement covering the approximately 8.9 million shares issued in a private offering in March 2008 and an additional approximately 4.5 million shares underlying warrants issued in connection with the offering provide that if we failed to file or cause to be declared effective the registration statement covering the resale of these shares prior to a specified deadlines, or fail to maintain the effectiveness of such registration statement (subject to limited permissible suspension periods), we may be required to pay the holders of such shares and warrants liquidated damages at the rate of 1% of the purchase price of these shares and warrants per month, up to a total of 10%. The registration statement covering the resale of the shares and shares underlying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warrants sold in this transaction was declared effective by the SEC on November 10, 2008. As discussed in “Management’s Discussion and Analysis of Financial Condition and Results of Operation—Liquidity and Capital Resources,” since the registration statement was not declared effective within the time frame specified in the registration rights agreement, we became obligated to pay the investors in this financing liquidated damages of approximately $1.3 million for the period from July 8 through November 10, 2008. As noted above, if we fail to maintain the effectiveness of this registration statement, we may be obligated to pay additional liquidated damage amounts in the future.</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See the discussion above under “Risks Related to our Business” regarding risks associated with the Committed Equity Financing Facility (CEFF), including the risks regarding registration rights under that agreement.</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we are required to pay significant amounts under these or future registration rights agreements, it could have a material adverse effect on our financial condition and ability to finance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officers, directors and principal stockholders acting as a group, will be able to significantly influence corporate actions.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March 15, 2009, our officers, directors and principal stockholders control approximately 65% of our common stock. As a result, these stockholders, acting together, will be able to significantly influence all matters requiring approval by our stockholders, including the election of directors and the approval of mergers or other business combination transactions. The interests of this group of stockholders may not always coincide with our interests or the interests of other stockholders and may prevent or delay a change in control. This significant concentration of share ownership may adversely affect the trading price of our common stock because investors often perceive disadvantages to owning stock in companies with controlling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increased costs as a result of recently enacted and proposed changes in laws and regulations.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Recently enacted and proposed changes in the laws and regulations affecting public companies, including the provisions of the Sarbanes-Oxley Act of 2002 and regulations of the SEC and the Nasdaq Capital Market, have and will continue to result in increased costs to us. The new rules could make it more difficult or costly for us to obtain certain types of insurance, including director and officer liability insurance, and we may be forced to accept reduced policy limits and coverage or incur higher costs to obtain the same or similar coverage. The impact of these events could also make it more difficult for us to attract and retain qualified persons to serve on our Board of Directors, or our board committees, or as executive officers. At present, we cannot predict or estimate the amount of the additional costs related to these new rules and regulations or the timing of such costs.</w:t>
      </w:r>
    </w:p>
    <w:p>
      <w:pPr>
        <w:spacing w:after="0" w:line="11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Compliance with public company obligations, including the securities laws and regulations, is costly and requires significant management resources, and we may fail to comply.</w:t>
      </w:r>
    </w:p>
    <w:p>
      <w:pPr>
        <w:spacing w:after="0" w:line="1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a small company with limited resources. Until April 2004, we operated as a private company, not subject to many of the requirements applicable to public companies.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federal securities laws and regulations, including the corporate governance and other requirements of the Sarbanes-Oxley Act of 2002, impose complex and continually changing regulatory requirements on our operations and reporting. These requirements impose comprehensive reporting and disclosure requirements, set stricter independence and financial expertise standards for audit committee members, and impose civil and criminal penalties for companies, their chief executive officers, principal financial officers and directors for securities law violations. These requirements have increased and will continue to increase our legal compliance costs, increase the difficulty and expense in obtaining director and officer liability insurance, and make it harder for us to attract and retain qualified members of our Board of Directors and/or qualified executive officers. Such developments could harm our results of operations and divert management’s attention from business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as directed by Section 404 of the Sarbanes-Oxley Act of 2002, the SEC adopted rules requiring public companies to include a report of management on the company’s internal control over financial reporting in their annual reports on Form 10-K. This requirement first applied to our annual report on Form 10-K for the year ended December 31, 2007. In addition, the independent registered public accounting firm auditing our financial statements must attest to and report on the effectiveness of our internal controls over financial reporting. On June 26, 2008, in Release No. 33-8934, the SEC announced a postponement of the application of this attestation requirement for non-accelerated filers, which became effective on September 2, 2008. With this change, the requirement for the auditor’s attestation and report will first apply to our annual report on Form 10-K for our fiscal year ending December 31, 2009. Uncertainty exists regarding our ability to comply with these requirements by applicable deadlines and to maintain compliance in future years. If we are unable to complete the required assessment as to the adequacy of our internal control over financial reporting in 2009 or in future years or if our independent registered public accounting firm is unable to provide us with an unqualified report as to the effectiveness of our internal control over financial reporting as of the required deadline in 2009 and as of future year ends, investors could lose confidence in the reliability of our financial reporting.</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Changes in or interpretations of accounting rules and regulations, such as expensing of stock options, could result in unfavorable accounting charges or require us to change our compensation policies.</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Accounting methods and policies for business and marketing practices of pharmaceutical companies, including policies regarding expensing employee stock options, are subject to further review, interpretation and guidance from relevant accounting authorities, including the SEC. For example, in December 2004, the Financial Accounting Standards Board adopted Financial Accounting Standard 123R, “Share Based Payment.” This statement, which we adopted in 2006, requires the recording of expense for the fair value of stock options granted. As a result, our operating expenses have increased and are likely to continue to increase. We rely heavily on stock options to compensate existing employees and attract new employees. Because we are now required to expense stock options on a fair-value basis, we may choose to reduce our reliance on stock options as a compensation tool. If we reduce our use of stock options, it may be more difficult for us to attract and retain qualified employees. Although we believe that our accounting practices are consistent with current accounting pronouncements, changes to or interpretations of accounting methods or policies in the future may require us to reclassify, restate or otherwise change or revise our financial statements.</w:t>
      </w:r>
    </w:p>
    <w:p>
      <w:pPr>
        <w:spacing w:after="0" w:line="114"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Anti-takeover provisions in our charter and bylaws and under Delaware law may make an acquisition of us or a change in our management more difficult, even if an acquisition or a management change would be beneficial to our stockholders.</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Provisions in our charter and bylaws may delay or prevent an acquisition of us or a change in our management. Some of these provisions divide our board into three classes with only a portion of our directors subject to election at each annual meeting, allow us to issue preferred stock without any vote or further action by the stockholders, require advance notification of stockholder proposals and nominations of candidates for election as directors and prohibit stockholders from acting by written consent. In addition, a supermajority vote of stockholders is required to amend our bylaws. Our bylaws provide that special meetings of the stockholders may be called only by our Chairman, President or the Board of Directors and that the authorized number of directors may be changed only by resolution of the Board of Directors. These provisions may prevent or delay a change in our Board of Directors or our management, which is appointed by our board of directors. In addition, because we are incorporated in Delaware, we are governed by the provisions of Section 203 of the Delaware General Corporation Law. Section 203 may prohibit large stockholders, in particular those owning 15% or more of our outstanding voting stock, from merging or combining with us. These provisions in our charter, bylaws and under Delaware law could reduce the price that investors might be willing to pay for shares of our common stock in the future and result in the market price being lower than it would be without these provisions.</w:t>
      </w:r>
    </w:p>
    <w:p>
      <w:pPr>
        <w:spacing w:after="0" w:line="2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approximately 7,700 square feet of office space in Menlo Park, California for our corporate facilities. On October 20, 2008, we renewed our lease for office space for a two-year term commencing on January 1, 2009. The new lease provides us an option to extend the lease for an additional year upon 180 days notice. We expect that these facilities will accommodate our operations for the next year.</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involved in any material legal proceedings.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fourth quarter of fiscal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AND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Our common stock is traded on The Nasdaq Capital Market under the symbol “CORT”. The following table sets forth the high and low intra-day sale prices per share of our common stock on The Nasdaq Capital Market for the periods indicated. These prices represent quotations among dealers without adjustments for retail mark-ups, markdowns or commissions, and may not represent prices of actual transactions.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Low</w:t>
            </w: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36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First Quarter</w:t>
            </w:r>
          </w:p>
        </w:tc>
        <w:tc>
          <w:tcPr>
            <w:tcW w:w="4240" w:type="dxa"/>
            <w:vAlign w:val="bottom"/>
            <w:gridSpan w:val="3"/>
          </w:tcPr>
          <w:p>
            <w:pPr>
              <w:ind w:left="3600"/>
              <w:spacing w:after="0"/>
              <w:rPr>
                <w:sz w:val="20"/>
                <w:szCs w:val="20"/>
                <w:color w:val="auto"/>
              </w:rPr>
            </w:pPr>
            <w:r>
              <w:rPr>
                <w:rFonts w:ascii="Arial" w:cs="Arial" w:eastAsia="Arial" w:hAnsi="Arial"/>
                <w:sz w:val="18"/>
                <w:szCs w:val="18"/>
                <w:color w:val="auto"/>
              </w:rPr>
              <w:t>$3.50</w:t>
            </w:r>
          </w:p>
        </w:tc>
        <w:tc>
          <w:tcPr>
            <w:tcW w:w="64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$2.25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240" w:type="dxa"/>
            <w:vAlign w:val="bottom"/>
            <w:gridSpan w:val="3"/>
            <w:shd w:val="clear" w:color="auto" w:fill="CCEEFF"/>
          </w:tcPr>
          <w:p>
            <w:pPr>
              <w:ind w:left="3600"/>
              <w:spacing w:after="0"/>
              <w:rPr>
                <w:sz w:val="20"/>
                <w:szCs w:val="20"/>
                <w:color w:val="auto"/>
              </w:rPr>
            </w:pPr>
            <w:r>
              <w:rPr>
                <w:rFonts w:ascii="Arial" w:cs="Arial" w:eastAsia="Arial" w:hAnsi="Arial"/>
                <w:sz w:val="18"/>
                <w:szCs w:val="18"/>
                <w:color w:val="auto"/>
              </w:rPr>
              <w:t>$4.29</w:t>
            </w:r>
          </w:p>
        </w:tc>
        <w:tc>
          <w:tcPr>
            <w:tcW w:w="6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$1.85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Third Quarter</w:t>
            </w:r>
          </w:p>
        </w:tc>
        <w:tc>
          <w:tcPr>
            <w:tcW w:w="4240" w:type="dxa"/>
            <w:vAlign w:val="bottom"/>
            <w:gridSpan w:val="3"/>
          </w:tcPr>
          <w:p>
            <w:pPr>
              <w:ind w:left="3600"/>
              <w:spacing w:after="0"/>
              <w:rPr>
                <w:sz w:val="20"/>
                <w:szCs w:val="20"/>
                <w:color w:val="auto"/>
              </w:rPr>
            </w:pPr>
            <w:r>
              <w:rPr>
                <w:rFonts w:ascii="Arial" w:cs="Arial" w:eastAsia="Arial" w:hAnsi="Arial"/>
                <w:sz w:val="18"/>
                <w:szCs w:val="18"/>
                <w:color w:val="auto"/>
              </w:rPr>
              <w:t>$2.43</w:t>
            </w:r>
          </w:p>
        </w:tc>
        <w:tc>
          <w:tcPr>
            <w:tcW w:w="64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$1.19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240" w:type="dxa"/>
            <w:vAlign w:val="bottom"/>
            <w:gridSpan w:val="3"/>
            <w:shd w:val="clear" w:color="auto" w:fill="CCEEFF"/>
          </w:tcPr>
          <w:p>
            <w:pPr>
              <w:ind w:left="3600"/>
              <w:spacing w:after="0"/>
              <w:rPr>
                <w:sz w:val="20"/>
                <w:szCs w:val="20"/>
                <w:color w:val="auto"/>
              </w:rPr>
            </w:pPr>
            <w:r>
              <w:rPr>
                <w:rFonts w:ascii="Arial" w:cs="Arial" w:eastAsia="Arial" w:hAnsi="Arial"/>
                <w:sz w:val="18"/>
                <w:szCs w:val="18"/>
                <w:color w:val="auto"/>
              </w:rPr>
              <w:t>$1.90</w:t>
            </w:r>
          </w:p>
        </w:tc>
        <w:tc>
          <w:tcPr>
            <w:tcW w:w="6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$0.80</w:t>
            </w:r>
          </w:p>
        </w:tc>
      </w:tr>
    </w:tbl>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Low</w:t>
            </w: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6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First Quarter</w:t>
            </w:r>
          </w:p>
        </w:tc>
        <w:tc>
          <w:tcPr>
            <w:tcW w:w="4240" w:type="dxa"/>
            <w:vAlign w:val="bottom"/>
            <w:gridSpan w:val="3"/>
          </w:tcPr>
          <w:p>
            <w:pPr>
              <w:ind w:left="3600"/>
              <w:spacing w:after="0"/>
              <w:rPr>
                <w:sz w:val="20"/>
                <w:szCs w:val="20"/>
                <w:color w:val="auto"/>
              </w:rPr>
            </w:pPr>
            <w:r>
              <w:rPr>
                <w:rFonts w:ascii="Arial" w:cs="Arial" w:eastAsia="Arial" w:hAnsi="Arial"/>
                <w:sz w:val="18"/>
                <w:szCs w:val="18"/>
                <w:color w:val="auto"/>
              </w:rPr>
              <w:t>$1.39</w:t>
            </w:r>
          </w:p>
        </w:tc>
        <w:tc>
          <w:tcPr>
            <w:tcW w:w="64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$0.68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240" w:type="dxa"/>
            <w:vAlign w:val="bottom"/>
            <w:gridSpan w:val="3"/>
            <w:shd w:val="clear" w:color="auto" w:fill="CCEEFF"/>
          </w:tcPr>
          <w:p>
            <w:pPr>
              <w:ind w:left="3600"/>
              <w:spacing w:after="0"/>
              <w:rPr>
                <w:sz w:val="20"/>
                <w:szCs w:val="20"/>
                <w:color w:val="auto"/>
              </w:rPr>
            </w:pPr>
            <w:r>
              <w:rPr>
                <w:rFonts w:ascii="Arial" w:cs="Arial" w:eastAsia="Arial" w:hAnsi="Arial"/>
                <w:sz w:val="18"/>
                <w:szCs w:val="18"/>
                <w:color w:val="auto"/>
              </w:rPr>
              <w:t>$2.99</w:t>
            </w:r>
          </w:p>
        </w:tc>
        <w:tc>
          <w:tcPr>
            <w:tcW w:w="6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$0.97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Third Quarter</w:t>
            </w:r>
          </w:p>
        </w:tc>
        <w:tc>
          <w:tcPr>
            <w:tcW w:w="4240" w:type="dxa"/>
            <w:vAlign w:val="bottom"/>
            <w:gridSpan w:val="3"/>
          </w:tcPr>
          <w:p>
            <w:pPr>
              <w:ind w:left="3600"/>
              <w:spacing w:after="0"/>
              <w:rPr>
                <w:sz w:val="20"/>
                <w:szCs w:val="20"/>
                <w:color w:val="auto"/>
              </w:rPr>
            </w:pPr>
            <w:r>
              <w:rPr>
                <w:rFonts w:ascii="Arial" w:cs="Arial" w:eastAsia="Arial" w:hAnsi="Arial"/>
                <w:sz w:val="18"/>
                <w:szCs w:val="18"/>
                <w:color w:val="auto"/>
              </w:rPr>
              <w:t>$6.85</w:t>
            </w:r>
          </w:p>
        </w:tc>
        <w:tc>
          <w:tcPr>
            <w:tcW w:w="64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$1.90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240" w:type="dxa"/>
            <w:vAlign w:val="bottom"/>
            <w:gridSpan w:val="3"/>
            <w:shd w:val="clear" w:color="auto" w:fill="CCEEFF"/>
          </w:tcPr>
          <w:p>
            <w:pPr>
              <w:ind w:left="3600"/>
              <w:spacing w:after="0"/>
              <w:rPr>
                <w:sz w:val="20"/>
                <w:szCs w:val="20"/>
                <w:color w:val="auto"/>
              </w:rPr>
            </w:pPr>
            <w:r>
              <w:rPr>
                <w:rFonts w:ascii="Arial" w:cs="Arial" w:eastAsia="Arial" w:hAnsi="Arial"/>
                <w:sz w:val="18"/>
                <w:szCs w:val="18"/>
                <w:color w:val="auto"/>
              </w:rPr>
              <w:t>$5.25</w:t>
            </w:r>
          </w:p>
        </w:tc>
        <w:tc>
          <w:tcPr>
            <w:tcW w:w="6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$2.44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 and Dividends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March 15, 2009, we had 49,763,206 shares of common stock outstanding held by 123 stockholders of record. We have never declared or paid cash dividends on our capital stock. We currently intend to retain any future earnings to finance the growth and development of our business and therefore, do not anticipate paying any in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14, 2008, we entered into a definitive agreement with certain accredited investors for the private placement of approximately 8.9 million shares of our common stock at a price of $2.77 per share and warrants to purchase approximately 4.5 million shares of our common stock, at a price of $0.125 per warrant (the March 2008 Financing). The warrants have a seven year term and an exercise price of $2.77 per share. One investor financed the purchase of its securities in this transaction with a promissory note to the Company in the amount of $6.0 million. On February 6, 2009, the investor paid in full the principal amount due of $6.0 million, in addition to approximately $575,000 of accrued interest and expenses. The March 2008 Financing generated approximately $25 million in net proceeds, after deducting the costs of issuance and after collection of the note.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purchasers in this transaction were led by Longitude Venture Partners, L. P. Other investors participating in the offering include Paperboy Ventures LLC, Sutter Hill Ventures and Alta Partners, LLP, venture capital firms that are all significant shareholders in Corcept, as well as various entities and individuals related to these firms. Also investing are trusts and other entities related to members of the Corcept Board of Directors, Joseph C. Cook, Jr., David L. Mahoney, G. Leonard Baker and James N. Wilson, and other accredited investors. Mr. Baker is a partner and managing director of Sutter Hill Ventures. Edward Penhoet, a member of our Board of Directors, is a director of Alta Partners, LLP. Allen Anderson, a member of our Board of Directors, is the chairman of Paperboy Ventures LLC. Patrick Enright, managing director of Longitude Capital, became a member of our Board of Directors at the Annual Meeting on June 10, 2008.</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March 2008 Financing is exempt from registration pursuant to the exemption for transactions by an issuer not involving any public offering under Section 4(2) the Securities Act of 1933, as amended, and Regulation D under the Securities Act of 1933, as amended. The securities sold and issued in connection with the private placement have not been registered under the Securities Act of 1933, as amended, or any state securities laws and may not be offered or sold in the United States absent registration with the Securities and Exchange Commission or an applicable exemption from the registration requirements.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registration rights agreement covering the approximately 8.9 million shares issued in the March 2008 Financing and the additional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4.5 million shares underlying warrants issued in connection with that offering provided that if we failed to file or caused to be declared effective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or registration statements covering the resale of these shares prior to specified deadlines, or failed to maintain the effectiveness of such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statements (subject to limited permissible suspension periods), we would be required to pay the holders of such shares and warrants liquidated damages at the rate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1% per month of the purchase price of these shares and warrants, up to a total of 10%. We filed the registration statement covering the resale of the shares sold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shares underlying the warrants sold in this transaction with the Securities and Exchange Commission (SEC) on April 11, 2008, within the time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by the agreement. However, this registration statement was not declared effective by the SEC until November 10, 2008, and accordingly, we became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obligated to pay liquidated damages to the investors in this transaction. We recorded a liability totaling approximately $1.3 million for liquidated damages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from July 8 through November 10, 2008. On November 11, 2008, we entered into an Amendment to Registration Rights Agreement (the Amendment)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amended the Registration Rights Agreement (the Original Agreement), dated as of March 14, 2008, by and among us and the investors signatory thereto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Holders). Pursuant to the Amendment, on November 11, 2008, we agreed to issue an aggregate of 883,155 shares of our common stock, valued at $1.45 per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 (the closing market price of our common stock on the NASDAQ Capital Market on November 11, 2008) as full satisfaction for approximately $1.3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liquidated damages owed to the Holders under the Original Agreement (the Liquidated Damages Issuance).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November 11, 2008 Liquidated Damages Issuance is exempt from registration pursuant to the exemption for transactions by an issuer not involving any public offering under Section 4(2) the Securities Act of 1933, as amended, and Regulation D under the Securities Act of 1933, as amended. The securities sold and issued in connection with the private placement have not been registered under the Securities Act of 1933, amended, or any state securities laws and may not be offered or sold in the United States absent registration with the Securities and Exchange Commission or an applicable exemption from the registration requirements.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March 25, 2008, we entered into a Committed Equity Financing Facility (CEFF) with Kingsbridge Capital Limited (Kingsbridge), a private investment group. Under the terms of the agreement, Kingsbridge has committed to provide up to $60 million of capital through the purchase of newly-issued shares of our common stock during the three year period following the declaration of effectiveness of the registration statement covering these shares. The maximum number of shares that we can sell under this agreement is approximately 9.6 million shares. Under the terms of the agreement, the determination of the exact timing and amount of any CEFF financings will be made solely by us, subject to certain conditions. The actual amount of funds that can be raised under this agreement will be dependent on the number of shares actually sold under the agreement and the market value of our stock during the pricing periods of each sale.</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quarter ended September 30, 2008, we sold a total of 404,587 shares of common stock to Kingsbridge under the CEFF at an average price of $1.85 per share, for total proceeds of $750,000.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details of the CEFF are as follows:</w:t>
      </w:r>
    </w:p>
    <w:p>
      <w:pPr>
        <w:spacing w:after="0" w:line="90" w:lineRule="exact"/>
        <w:rPr>
          <w:sz w:val="20"/>
          <w:szCs w:val="20"/>
          <w:color w:val="auto"/>
        </w:rPr>
      </w:pPr>
    </w:p>
    <w:p>
      <w:pPr>
        <w:ind w:left="900" w:right="4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terms of the agreement, we have access to up to $60 million from Kingsbridge in exchange for newly-issued shares of our common stock for a period of up to three years after the Securities and Exchange Commission declares effective the registration statement to be filed by us covering the resale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of the shares of common stock issuable in connection with the CEFF and the shares of common stock underlying the warrant discussed below.</w:t>
      </w:r>
    </w:p>
    <w:p>
      <w:pPr>
        <w:spacing w:after="0" w:line="127" w:lineRule="exact"/>
        <w:rPr>
          <w:sz w:val="20"/>
          <w:szCs w:val="20"/>
          <w:color w:val="auto"/>
        </w:rPr>
      </w:pPr>
    </w:p>
    <w:p>
      <w:pPr>
        <w:ind w:left="900" w:right="16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 access capital under the CEFF in tranches of up to 1.25% of our market capitalization at the time of the initiation of the draw down period, or, at our option, the lesser of (a) 2.5% of our market capitalization at the time of the initiation of the draw down period, and (b) an alternative draw down amount as defined in the agreement; provided, however, that in no event may the maximum draw down amount exceed $10 million per tranche, subject to certain conditions.</w:t>
      </w:r>
    </w:p>
    <w:p>
      <w:pPr>
        <w:spacing w:after="0" w:line="62" w:lineRule="exact"/>
        <w:rPr>
          <w:rFonts w:ascii="Arial" w:cs="Arial" w:eastAsia="Arial" w:hAnsi="Arial"/>
          <w:sz w:val="18"/>
          <w:szCs w:val="18"/>
          <w:color w:val="auto"/>
        </w:rPr>
      </w:pPr>
    </w:p>
    <w:p>
      <w:pPr>
        <w:jc w:val="both"/>
        <w:ind w:left="900" w:right="100" w:hanging="325"/>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tranche will be issued and priced over an eight-day pricing period. Kingsbridge will purchase shares of common stock pursuant to the CEFF at discounts ranging from 6% to 10%, depending on the volume weighted average price of the common stock during the eight-day pricing period. The minimum acceptable price at which we will sell stock to Kingsbridge is $1.50 per share, less the applicable discount.</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Throughout the term of the agreement, Kingsbridge has agreed it will not, and will not cause any other person to, enter into or execute a short sale of any of our securities.</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not obligated to utilize any of the $60 million available under the CEFF and there are no minimum commitments or minimum use penalties. The CEFF agreement does not contain any restrictions on Corcept’s operating activities, automatic pricing resets or minimum market volume restrictions.</w:t>
      </w:r>
    </w:p>
    <w:p>
      <w:pPr>
        <w:spacing w:after="0" w:line="59"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agreement does not prohibit us from conducting additional debt or equity financing, other than financings similar to the CEFF and other future priced securities.</w:t>
      </w:r>
    </w:p>
    <w:p>
      <w:pPr>
        <w:spacing w:after="0" w:line="50"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connection with the CEFF, we issued a warrant to Kingsbridge to purchase up to 330,000 shares of common stock at an exercise price of $3.525 per share which represents 125% of the average of the closing bid prices of our common stock during the 5 trading days preceding the signing of the agreement. The warrant became exercisable on September 25, 2008, the six month anniversary of the date of the agreement. The warrant will remain exercisable, subject to certain exceptions, until September 25, 2013, five years after the date it becomes exercisable.</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CEFF, the issuance of the warrant in connection with the CEFF, and the sale of shares pursuant to the CEFF are exempt from registration pursuant to the exemption for transactions by an issuer not involving any public offering under Section 4(2) the Securities Act of 1933, as amended, and Regulation D under the Securities Act of 1933, as amended.</w:t>
      </w:r>
    </w:p>
    <w:p>
      <w:pPr>
        <w:spacing w:after="0" w:line="14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At the time of the signing of the CEFF agreements, the warrant issued to Kingsbridge and the shares of common stock issuable under the CEFF, and the shares issuable upon the exercise of the warrant, were not registered under the Securities Act, or state securities laws, and could not be offered or sold in the United States without being registered with the SEC or through an applicable exemption from SEC registration requirements. On June 10, 2008, the SEC declared effective our initial registration statement covering the resale of approximately 3.9 million shares, which includes approximately 3.6 million of the shares issuable under the CEFF and the shares issuable upon the exercise of the warrant. This registration statement covers approximately 37% of the 9.6 million shares of our common stock issuable pursuant to the CEFF and all of the 330,000 shares of our common stock issuable upon exercise of the warrant issued to Kingsbridge.</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file additional registration statements covering the resale of additional shares of our common stock issuable pursuant to the CEFF beginning at the later of 60 days after Kingsbridge and its affiliates have resold substantially all of the securities registered for sale under the initial registration statement or six months after the effective date of this registration statement. These subsequent registration statements are subject to our ability to prepare and file them and to review and comment by the Staff of the SEC, as well as consent by our independent registered accounting firm. Therefore, the timing of effectiveness of these subsequent registration statements becoming effective cannot be assured. The effectiveness of these subsequent registration statements 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condition precedent to our ability to sell the shares of common stock subject to these subsequent registration statements to Kingsbridge under the CEFF.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Repurchases of Securities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with respect to our compensation plans under which equity securities are authorized for issuance.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Performance Graph</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The graph and the accompanying text below is not “soliciting material,” is not deemed filed with the SEC and is not to be incorporated by reference in any filings by us under the Securities Act of 1933, as amended, or the Securities Exchange Act of 1934, as amended, whether made before or after the date hereof and irrespective of any general incorporation language in such filing.</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of the SEC require that we include a line-graph comparing cumulative stockholder returns on our common stock with the NASDAQ Composite Index (which tracks the aggregate price performance of equity securities of companies traded on NASDAQ) and either a published industry or line-of-business standard index or an index of peer companies selected by us. We have elected to use the NASDAQ Biotechnology Index (consisting of a group of approximately 130 companies in the biotechnology sector, including us) for purposes of the performance comparison that appears below.</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graph shows the cumulative total stockholder return assuming the investment of $100.00 and the reinvestment of dividends and is based on the returns of the component companies weighted according to their market capitalizations as of the end of the period for which returns are indicated. No dividends have been declared on our common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stockholder return shown on the graph below is not necessarily indicative of future performance, and we do not make or endorse any predictions as to future stockholder returns.</w:t>
      </w:r>
    </w:p>
    <w:p>
      <w:pPr>
        <w:spacing w:after="0" w:line="132" w:lineRule="exact"/>
        <w:rPr>
          <w:sz w:val="20"/>
          <w:szCs w:val="20"/>
          <w:color w:val="auto"/>
        </w:rPr>
      </w:pPr>
    </w:p>
    <w:p>
      <w:pPr>
        <w:jc w:val="center"/>
        <w:ind w:left="380" w:right="2600"/>
        <w:spacing w:after="0" w:line="259" w:lineRule="auto"/>
        <w:rPr>
          <w:sz w:val="20"/>
          <w:szCs w:val="20"/>
          <w:color w:val="auto"/>
        </w:rPr>
      </w:pPr>
      <w:r>
        <w:rPr>
          <w:rFonts w:ascii="Arial" w:cs="Arial" w:eastAsia="Arial" w:hAnsi="Arial"/>
          <w:sz w:val="18"/>
          <w:szCs w:val="18"/>
          <w:color w:val="auto"/>
        </w:rPr>
        <w:t>COMPARISON OF 56-MONTH CUMULATIVE TOTAL RETURN* AMONG CORCEPT THERAPEUTICS, THE NASDAQ CAPITAL MARKET (U.S.)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94615</wp:posOffset>
            </wp:positionV>
            <wp:extent cx="3524885" cy="3627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2488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$100 invested on 4/14/04 including reinvestment of dividends. Fiscal year ending December 31.</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selected financial data set forth below are derived from our financial statements. The statement of operations data for the years ended December 31, 2006, 2007, and 2008 and for the period from inception (May 13, 1998) to December 31, 2008 and the balance sheet data as of December 31, 2007 and 2008 are derived from our audited financial statements included in this Annual Report on Form 10-K, or Form 10-K. The statements of operations data for the years ended December 31, 2005 and 2004, and the balance sheet data as of December 31, 2006, 2005 and 2004 have been derived from our audited financial statements, which are not included in this Form 10-K. The selected financial data set forth below should be read in conjunction with our financial statements, the related notes and “Management’s Discussion and Analysis of Financial Condition and Results of Operations” included elsewhere in this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10"/>
            <w:vMerge w:val="restart"/>
          </w:tcPr>
          <w:p>
            <w:pPr>
              <w:jc w:val="right"/>
              <w:ind w:right="88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inception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gridSpan w:val="10"/>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1"/>
              </w:rPr>
              <w:t>(May 13, 1998) to</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4"/>
              </w:rPr>
              <w:t>2006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2005</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4"/>
              <w:spacing w:after="0" w:line="144" w:lineRule="exact"/>
              <w:rPr>
                <w:sz w:val="20"/>
                <w:szCs w:val="20"/>
                <w:color w:val="auto"/>
              </w:rPr>
            </w:pPr>
            <w:r>
              <w:rPr>
                <w:rFonts w:ascii="Arial" w:cs="Arial" w:eastAsia="Arial" w:hAnsi="Arial"/>
                <w:sz w:val="14"/>
                <w:szCs w:val="14"/>
                <w:i w:val="1"/>
                <w:iCs w:val="1"/>
                <w:color w:val="auto"/>
              </w:rPr>
              <w:t>(In</w:t>
            </w:r>
          </w:p>
        </w:tc>
        <w:tc>
          <w:tcPr>
            <w:tcW w:w="360" w:type="dxa"/>
            <w:vAlign w:val="bottom"/>
            <w:gridSpan w:val="2"/>
          </w:tcPr>
          <w:p>
            <w:pPr>
              <w:spacing w:after="0"/>
              <w:rPr>
                <w:sz w:val="20"/>
                <w:szCs w:val="20"/>
                <w:color w:val="auto"/>
              </w:rPr>
            </w:pPr>
            <w:r>
              <w:rPr>
                <w:rFonts w:ascii="Arial" w:cs="Arial" w:eastAsia="Arial" w:hAnsi="Arial"/>
                <w:sz w:val="9"/>
                <w:szCs w:val="9"/>
                <w:i w:val="1"/>
                <w:iCs w:val="1"/>
                <w:color w:val="auto"/>
                <w:w w:val="77"/>
              </w:rPr>
              <w:t>thousands,</w:t>
            </w:r>
          </w:p>
        </w:tc>
        <w:tc>
          <w:tcPr>
            <w:tcW w:w="1360" w:type="dxa"/>
            <w:vAlign w:val="bottom"/>
            <w:gridSpan w:val="3"/>
          </w:tcPr>
          <w:p>
            <w:pPr>
              <w:jc w:val="right"/>
              <w:ind w:right="20"/>
              <w:spacing w:after="0" w:line="144" w:lineRule="exact"/>
              <w:rPr>
                <w:sz w:val="20"/>
                <w:szCs w:val="20"/>
                <w:color w:val="auto"/>
              </w:rPr>
            </w:pPr>
            <w:r>
              <w:rPr>
                <w:rFonts w:ascii="Arial" w:cs="Arial" w:eastAsia="Arial" w:hAnsi="Arial"/>
                <w:sz w:val="14"/>
                <w:szCs w:val="14"/>
                <w:i w:val="1"/>
                <w:iCs w:val="1"/>
                <w:color w:val="auto"/>
                <w:w w:val="94"/>
              </w:rPr>
              <w:t>except per share data)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Collaboration Revenue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14,152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17,074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19,898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25,876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21,158</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(19,689)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(12,245)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w w:val="86"/>
              </w:rPr>
              <w:t>(25,582)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(21,158)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(16,045)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(20,061)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(11,573)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w w:val="86"/>
              </w:rPr>
              <w:t>(24,873)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(20,093)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(15,535)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(130,072)</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420"/>
              <w:spacing w:after="0"/>
              <w:rPr>
                <w:sz w:val="20"/>
                <w:szCs w:val="20"/>
                <w:color w:val="auto"/>
              </w:rPr>
            </w:pPr>
            <w:r>
              <w:rPr>
                <w:rFonts w:ascii="Arial" w:cs="Arial" w:eastAsia="Arial" w:hAnsi="Arial"/>
                <w:sz w:val="18"/>
                <w:szCs w:val="18"/>
                <w:color w:val="auto"/>
              </w:rPr>
              <w:t>Weighted average shares—basic and diluted</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46,721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34,251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22,841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22,608</w:t>
            </w: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18,440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non-cash stock-based compensation (recovery)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3800" w:type="dxa"/>
            <w:vAlign w:val="bottom"/>
          </w:tcPr>
          <w:p>
            <w:pPr>
              <w:ind w:left="66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1,013</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Total non-cash stock-based compensation</w:t>
            </w: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1,628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1,059</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8"/>
                <w:szCs w:val="18"/>
                <w:b w:val="1"/>
                <w:bCs w:val="1"/>
                <w:color w:val="auto"/>
                <w:w w:val="86"/>
              </w:rPr>
              <w:t>As of December 31,</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center"/>
              <w:ind w:left="94"/>
              <w:spacing w:after="0"/>
              <w:rPr>
                <w:sz w:val="20"/>
                <w:szCs w:val="20"/>
                <w:color w:val="auto"/>
              </w:rPr>
            </w:pPr>
            <w:r>
              <w:rPr>
                <w:rFonts w:ascii="Arial" w:cs="Arial" w:eastAsia="Arial" w:hAnsi="Arial"/>
                <w:sz w:val="18"/>
                <w:szCs w:val="18"/>
                <w:b w:val="1"/>
                <w:bCs w:val="1"/>
                <w:color w:val="auto"/>
                <w:w w:val="89"/>
              </w:rPr>
              <w:t>2006</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Arial" w:cs="Arial" w:eastAsia="Arial" w:hAnsi="Arial"/>
                <w:sz w:val="14"/>
                <w:szCs w:val="14"/>
                <w:i w:val="1"/>
                <w:iCs w:val="1"/>
                <w:color w:val="auto"/>
                <w:w w:val="73"/>
              </w:rPr>
              <w:t>(In</w:t>
            </w:r>
          </w:p>
        </w:tc>
        <w:tc>
          <w:tcPr>
            <w:tcW w:w="50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i w:val="1"/>
                <w:iCs w:val="1"/>
                <w:color w:val="auto"/>
                <w:w w:val="74"/>
              </w:rPr>
              <w:t>thousands)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18,309</w:t>
            </w:r>
          </w:p>
        </w:tc>
        <w:tc>
          <w:tcPr>
            <w:tcW w:w="14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$17,366</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$9,456</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$29,619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$46,887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16,717</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14,662</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6,286</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25,984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36,415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19,775</w:t>
            </w:r>
          </w:p>
        </w:tc>
        <w:tc>
          <w:tcPr>
            <w:tcW w:w="14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17,744</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9,902</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30,156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47,772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16,907</w:t>
            </w:r>
          </w:p>
        </w:tc>
        <w:tc>
          <w:tcPr>
            <w:tcW w:w="140" w:type="dxa"/>
            <w:vAlign w:val="bottom"/>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14,734</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6,360</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26,593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our financial statements and related notes for a description of the calculation of the net loss per share and the weighted-average number of shares used in computing the per share amounts.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2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contains forward-looking statements within the meaning of Section 21E of the Securities Exchange Act of 1934, as amended, and Section 27A of the Securities Act of 1933, as amended and should be read in conjunction with the “Risk Factors” section of Part I of this Form 10-K. All statements contained in this Form 10-K other than statements of historical fact are forward-looking statements. When used in this report or elsewhere by management from time to time, the words “believe,” “anticipate,” “intend,” “plan,” “estimate,” “expect,” “may,” “will,” “should,” “seeks” and similar expressions are forward-looking statements. Such forward-looking statements are based on current expectations, but the absence of these words does not necessarily mean that a statement is not forward-looking. Forward-looking statements may include, but are not limited to, statements about:</w:t>
      </w:r>
    </w:p>
    <w:p>
      <w:pPr>
        <w:spacing w:after="0" w:line="6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the progress and timing of our research, development and clinical programs and the timing of regulatory activities;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the market introduction of CORLUX</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and future product candidates, including CORT 108297;</w:t>
      </w:r>
    </w:p>
    <w:p>
      <w:pPr>
        <w:spacing w:after="0" w:line="44" w:lineRule="exact"/>
        <w:rPr>
          <w:rFonts w:ascii="Arial" w:cs="Arial" w:eastAsia="Arial" w:hAnsi="Arial"/>
          <w:sz w:val="18"/>
          <w:szCs w:val="18"/>
          <w:i w:val="1"/>
          <w:iCs w:val="1"/>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the dates by which we expect to report results of our clinical trials and the anticipated results of these trials;</w:t>
      </w:r>
    </w:p>
    <w:p>
      <w:pPr>
        <w:spacing w:after="0" w:line="76" w:lineRule="exact"/>
        <w:rPr>
          <w:rFonts w:ascii="Arial" w:cs="Arial" w:eastAsia="Arial" w:hAnsi="Arial"/>
          <w:sz w:val="18"/>
          <w:szCs w:val="18"/>
          <w:i w:val="1"/>
          <w:iCs w:val="1"/>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market, commercialize and achieve market acceptance for CORLUX or other future product candidates;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associated with obtaining and enforcing patents;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for future performance; and</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our capital requirements and our needs for, and ability to obtain, additional financing.</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Forward-looking statements are not guarantees of future performance and involve risks and uncertainties. Actual events or results may differ materially from those discussed in the forward-looking statements as a result of various factors. For a more detailed discussion of such forward-looking statements and the potential risks and uncertainties that may impact upon their accuracy, see “Risk Factors” included in Part I of this Form 10-K and the “Overview” and “Liquidity and Capital Resources” sections of this Management’s Discussion and Analysis of Financial Condition and Results of Operations. These forward-looking statements reflect our view only as of the date of this report. Except as required by law, we undertake no obligations to update any forward looking statements. Accordingly, you should also carefully consider the factors set forth in other reports or documents that we file from time to time with the Securities and Exchange Commission.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are a pharmaceutical company engaged in the development of medications for the treatment of severe psychiatric and metabolic diseases. Since our inception in May 1998, we have been developing our lead product, CORLUX, a glucocorticoid receptor II, or GR-II, antagonist.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Psychotic Depression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developing our lead compound, CORLUX, for the treatment of the psychotic features of psychotic major depression, under an exclusive patent license from Stanford University. Psychotic major depression, or PMD, will hereinafter be referred to as psychotic depression. The United States Food and Drug Administration, or FDA, has granted “fast track” status to evaluate the safety and efficacy of CORLUX for the treatment of the psychotic features of psychotic depression. Between August 2006 and March 2007 we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announced the results of our initial three Phase 3 trials in which CORLUX was evaluated for treating the psychotic features of psychotic depression.</w:t>
      </w:r>
    </w:p>
    <w:p>
      <w:pPr>
        <w:spacing w:after="0" w:line="19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reported the results of Study 06, the last of the three Phase 3 trials during 2007. The study did not achieve statistical significance with respect to the primary endpoint, 50% improvement in the Brief Psychiatric Rating Scale Positive Symptom Subscale, or BPRS PSS, at Day 7 and at Day 56. However, there was a statistically significant correlation between the plasma levels of CORLUX and clinical outcome. Response rates for patients whose plasma levels rose above 1661 nanograms of CORLUX per milliliter of plasma were statistically different than both those patients whose plasma levels were below that threshold and those patients who received placebo. In particular, those patients in Study 06 who achieved a CORLUX concentration of 1661 nanograms per milliliter of plasma separated from the placebo group with statistical significance on the primary endpoint. Conversely, at substantially lower plasma levels of CORLUX, there was no distinguishable difference in response rates between patients who received CORLUX and those receiving placebo. This study confirms a similar finding in Study 07 that at higher plasma levels the drug candidate is able to demonstrate greater clinical benefit than the placebo group. Further, the incidence of serious adverse events did not differ between placebo and any of the three CORLUX dose groups.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Data aggregated from our major efficacy studies of similar design, Study 03, Study 06, Study 07 and Study 09, (724 observed cases) indicate that the patients who received CORLUX separated from the placebo group with statistical significance for the endpoint, 50% improvement in the BPRS PSS at Day 7 and at Day 56. In addition, using the same endpoint, patients who achieved a drug level in their plasma that was greater than the 1661 nanograms per milliliter threshold mentioned above, statistically separated from both those patients whose plasma levels were below this threshold and those patients who received placebo.</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that the confirmation of a correlation between drug concentration and clinical response, as well as other observations from Study 06 and our other two completed Phase 3 clinical trials, serves as a strong basis for our current Phase 3 study (Study 14), which commenced enrollment in March of 2008. The protocol for this trial incorporates what we have learned from the three completed trials to address the established relationship between increased drug plasma levels and clinical response and attempts to decrease the random variability observed in the results of the psychometric instruments used to measure efficacy. In Study 06, Corcept prospectively tested and confirmed that patients whose plasma levels rose above a predetermined threshold statistically separated from both those patients whose plasma levels were below the threshold and those patients who received placebo; this threshold was established from data produced in earlier studies. As expected, patients who took 1200 mg of CORLUX developed higher drug plasma levels than patients who received lower doses. Further, there was no discernable difference in the incidence of adverse events between placebo and any of the three CORLUX dose groups in Study 06. Based on this information, we are using a CORLUX dose of 1200 mg once per day for seven days in Study 14. In addition, we also are utilizing a third party centralized rating service to independently evaluate the patients for entry into the study as well as for response. We believe the centralization of this process will improve the consistency of rating across clinical trial sites and reduce the background noise that was illustrated in earlier studies and is endemic to many psychopharmacologic studies. We believe that this change in dose, as well as the other modifications to the protocol, should allow us to demonstrate the efficacy of CORLUX in the treatment of the psychotic symptoms of psychotic depression. Due to the relatively high cost of this program, length of the trial and current financial constraints, we are scaling back our planned rate of spending on this trail and extending the timeline for its completion.</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Cushing’s Syndrome</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July 2007, we received Orphan Drug Designation from the FDA for CORLUX for the treatment of Cushing’s Syndrome. Cushing’s Syndrome is a disorder caused by prolonged exposure of the body’s tissues to high levels of the hormone cortisol. Sometimes called “hypercortisolism,” it is relatively rare and most commonly affects adults aged 20 to 50. An estimated 10 to 15 of every one million people are newly diagnosed each year.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Orphan Drug Designation is a special status granted by the FDA to encourage the development of treatments for diseases or conditions that affect fewer than 200,000 patients in the United States. Drugs that receive Orphan Drug Designation obtain seven years of marketing exclusivity from the date of drug approval, as well as tax credits for clinical trial costs, marketing application filing fee waivers and assistance from the FDA in the drug development process.</w:t>
      </w:r>
    </w:p>
    <w:p>
      <w:pPr>
        <w:spacing w:after="0" w:line="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Investigational New Drug application (IND) for the evaluation of CORLUX for the treatment of Cushing’s Syndrome was opened in September 2007. The FDA has indicated that our single 50-patient open-label study may provide a reasonable basis for the submission of a New Drug Application (NDA) for this indication. This trial was opened for enrollment in December 2007. We are targeting completion of enrollment by the end of 2009, and should have accumulated a full data set on all 50 patients by mid-2010.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of Weight Gain induced by Antipsychotics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2005, we published the results of studies in rats that demonstrated that CORLUX, a potent GR-II (cortisol) receptor antagonist, both reduced the weight gain associated with the ongoing use of olanzapine and mitigated the weight gain associated with the initiation of treatment with olanzapine (the active ingredient in Zyprexa). This study was paid for by Eli Lilly and Company (Lilly).</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2007 we announced positive results from our clinical proof-of-concept study evaluating the ability of CORLUX to mitigate weight gain associated with the use of Zyprexa. This study in lean healthy male volunteers was initiated during the first quarter of 2006. The results show a statistically significant reduction in weight gain in those subjects who took Zyprexa plus CORLUX compared to those who took Zyprexa alone. Also, the addition of CORLUX to treatment with Zyprexa had a beneficial impact on secondary metabolic measures such as fasting insulin, and triglycerides and abdominal fat, as measured by waist circumference. Lilly provided Zyprexa and financial support for this study. In January 2009 we announced positive results from a similar proof-of-concept study evaluating the ability of CORLUX to mitigate weight gain associated with the use of Johnson &amp; Johnson’s Risperdal. This study, which began in 2008, confirmed the earlier results seen with CORLUX and Zyprexa, demonstrating a statistically significant reduction in weight and secondary metabolic endpoints of fasting insulin, triglycerides and abdominal fat, as measured by waist circumference.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combination of Zyprexa or Risperdal and CORLUX is not approved for any indication. The purpose of these studies was to explore the hypothesis that GR-II antagonists would mitigate weight gain associated with atypical antipsychotic medications. The group of medications known as atypical antipsychotics, including Zyprexa, Risperdal, Clozaril and Seroquel, are widely used to treat schizophrenia and bipolar disorder. All medications in this group are associated with treatment emergent weight gain of varying degrees and carry a warning label relating to treatment emergent hyperglycemia and diabetes mellitus.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early 2003, we initiated a discovery research program to identify and patent selective GR-II antagonists to develop a pipeline of products for proprietary use. Three distinct series of GR-II antagonists were identified. Composition of matter patents on two of the series have been allowed in Europe, while substantive examination in the corresponding United States applications has not yet begun. United States and European applications have been filed for composition of matter patents in the third series, and are currently undergoing substantive examination. These compounds appear to be as potent as our lead product CORLUX in blocking cortisol but, unlike CORLUX, they do not appear to block the PR (progesterone), ER (estrogen), AR (androgen) or GR-I (mineralocorticoid) receptors.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Chemical Entity—CORT 108297</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2007, we commenced a human microdosing study of one of our newly identified selective GR-II antagonists, CORT 108297, with Xceleron Limited utilizing their Accelerator Mass Spectrometry technology. In this microdosing study, we evaluated CORT 108297, a compound which develops particularly high plasma and brain concentrations in an animal model. On May 1, 2008, we announced the results from this study, which demonstrated that CORT 108297 was extremely well absorbed, demonstrated good bioavailability and had a half-life that appears compatible with once-a-day oral dosing. In addition, further pharmacokinetic testing of CORT 108297 in a rat model indicated that a ten-fold increase in oral dose (5 milligrams per kilograms to 50 milligrams per kilograms) led to a proportional increase in the amount of compound detected in plasma.</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September 2008, we signed a second agreement with Lilly, under which Lilly agreed to provide funding and provide olanzapine for two studies to test the effectiveness of CORT 108297 in rat models of olanzapine induced weight gain. In January 2009 we announced top-line results from these studies of CORT 108297 and olanzapine. The results from the studies of both the prevention and reversal of antipsychotic-induced weight gain were positive and statistically significant.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activities to date have included:</w:t>
      </w:r>
    </w:p>
    <w:p>
      <w:pPr>
        <w:spacing w:after="0" w:line="90"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designing, funding and overseeing clinical trials;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affairs;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intellectual property prosecution and expansion.</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Historically, we have financed our operations and internal growth primarily through private placements of our preferred and common stock and the public sale of common stock rather than through collaborative or partnership agreements. Therefore, we have no research funding or collaborative payments payable to us, except for the limited revenue under the agreements with Lilly discussed above.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in the development stage and have incurred significant losses since our inception. We have not generated any revenue through December 2008 other than the revenue under the agreements with Lilly, and do not expect to generate significant revenue for the foreseeable future. As of December 31, 2008, we had an accumulated deficit of $130.1 million. Our historical operating losses have resulted principally from our research and development activities, including clinical trial activities for CORLUX, discovery research, non-clinical activities such as toxicology and carcinogenicity studies, manufacturing process development and regulatory activities, as well as general and administrative expenses. We expect to continue to incur net losses over at least the next several years as we continue our CORLUX clinical development program, apply for regulatory approvals, initiate development of newly identified GR-II antagonists for various indications, continue our discovery research program, acquire and develop treatments in other therapeutic areas, establish sales and marketing capabilities and expand our operations.</w:t>
      </w:r>
    </w:p>
    <w:p>
      <w:pPr>
        <w:spacing w:after="0" w:line="118"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business is subject to significant risks, including the risks inherent in our research and development efforts, the results of our CORLUX clinical trials, uncertainties associated with securing financing, uncertainties associated with obtaining and enforcing patents, our investment in manufacturing set-up, the lengthy and expensive regulatory approval process and competition from other products. Our ability to successfully generate revenues in the foreseeable future is dependent upon our ability, alone or with others, to finance our operations and develop, obtain regulatory approval for, manufacture and market our lead product.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Collaboration revenue</w:t>
      </w:r>
      <w:r>
        <w:rPr>
          <w:rFonts w:ascii="Arial" w:cs="Arial" w:eastAsia="Arial" w:hAnsi="Arial"/>
          <w:sz w:val="18"/>
          <w:szCs w:val="18"/>
          <w:b w:val="1"/>
          <w:bCs w:val="1"/>
          <w:i w:val="1"/>
          <w:iCs w:val="1"/>
          <w:color w:val="auto"/>
        </w:rPr>
        <w:t>—</w:t>
      </w:r>
      <w:r>
        <w:rPr>
          <w:rFonts w:ascii="Arial" w:cs="Arial" w:eastAsia="Arial" w:hAnsi="Arial"/>
          <w:sz w:val="18"/>
          <w:szCs w:val="18"/>
          <w:color w:val="auto"/>
        </w:rPr>
        <w:t>Collaboration revenue relates to services rendered in connection with our agreements with Lilly discussed above under the caption</w:t>
      </w:r>
      <w:r>
        <w:rPr>
          <w:rFonts w:ascii="Arial" w:cs="Arial" w:eastAsia="Arial" w:hAnsi="Arial"/>
          <w:sz w:val="18"/>
          <w:szCs w:val="18"/>
          <w:i w:val="1"/>
          <w:iCs w:val="1"/>
          <w:color w:val="auto"/>
        </w:rPr>
        <w:t xml:space="preserve"> </w:t>
      </w:r>
      <w:r>
        <w:rPr>
          <w:rFonts w:ascii="Arial" w:cs="Arial" w:eastAsia="Arial" w:hAnsi="Arial"/>
          <w:sz w:val="18"/>
          <w:szCs w:val="18"/>
          <w:color w:val="auto"/>
        </w:rPr>
        <w:t>“Overview-Management of Weight Gain induced by Antipsychotics.” Under these agreements, Lilly agreed to supply the Zyprexa and olanzapine and pay for the costs of the studies. We are required to perform development activities as specified in the agreements and we are reimbursed based on the costs associated with the conduct of the trial and the preparation and packaging of clinical trial materials. Revenue is recognized as the services are rendered in accordance with the agreements.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During the years ended December 31, 2008 and 2007, we recognized approximately $209,000 and $482,000, respectively, under these agreements. There will be no significant revenue under the agreements in the future as the majority of the activities were completed by December 31, 2008.</w:t>
      </w:r>
    </w:p>
    <w:p>
      <w:pPr>
        <w:spacing w:after="0" w:line="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include the personnel costs related to our development activities,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non-cash stock-based compensation, as well as the costs of discovery research, pre-clinical studies, clinical trial preparations, enrollment and monitoring expenses, regulatory costs, the costs of manufacturing development and the costs of manufacture and / or acquisition of clinical trial materials.</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Research and development expenses increased 80% to $14.2 million for the year ended December 31, 2008, from $7.9 million for the year ended December 31, 2007. The increase in expenses reflects clinical trial cost increases of approximately $5.1 million related to new trials in psychotic depression, Cushing’s Syndrome and the mitigation of weight gain caused by Risperidal, which were partially offset by decreases of approximately $3.1 million due to the substantial completion of our earlier Phase 3 clinical trials for psychotic depression, our cardiac study and our earlier proof of concept study in the mitigation of Zyprexa induced weight gain in 2007. During 2008, we also performed two smaller clinical studies to test formulation development and drug-drug interaction at a cost of approximately $705,000. During the year ended December 31, 2008 as compared to 2007, there were also increases in contract research expenses of approximately $750,000 due to basic research work on new chemical compounds, approximately $495,000 related to other research and preclinical work with our selective new GR-II antagonist, CORT 108297, and approximately $209,000 of costs associated with the rat studies using this compound in combination with olanzapine, which are being conducted in connection with the agreement with Lilly discussed above. In addition, during the year ended December 31, 2008, there was an increase in manufacturing expenses of approximately $925,000 due to the acquisition and manufacture of materials for the new clinical trials and manufacturing process development. During the year ended December 31, 2008, as compared to 2007, there were also increases in consulting expenses of approximately $530,000 and in staffing costs of approximately $565,000 to provide the resources necessary to support the increasing trial activities, which included increases in non-cash stock-based compensation of approximately $55,000. The expansion of the trial activities also caused an increase in travel costs of approximately $135,000 and in the allocation of facilities cost of approximately $115,000 during 2008 as compared to 2007.</w:t>
      </w:r>
    </w:p>
    <w:p>
      <w:pPr>
        <w:spacing w:after="0" w:line="128"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Research and development expenses decreased 62% to $7.9 million for the year ended December 31, 2007, from $20.8 million for the year ended December 31, 2006. The decrease in expenses reflects clinical trial cost decreases of approximately $13.7 million due to the substantial completion of our earlier Phase 3 clinical trials for psychotic depression in late 2006 and early 2007, which were partially offset by approximately $145,000 in costs associated with the preparations for our upcoming psychotic depression trial and increases in clinical trial costs related to other programs of approximately $510,000. During the year ended December 31, 2007 as compared to 2006, there were also increases in contract research expenses of approximately $725,000 due to basic research work in new chemical compounds and the initiation of the micro-dosing study on a selected compound, increases in analytical testing of approximately $75,000 and increases in manufacturing expenses of approximately $360,000 due to the manufacture of additional materials for upcoming clinical trials and manufacturing process development. In addition, during the year ended December 31, 2007 as compared to 2006, there were decreases in pre-clinical studies of approximately $995,000 and staffing expenses of approximately $480,000, which included decreases in non-cash stock-based compensation of approximately $275,000.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decreases in staffing expenses were offset by increases in consulting and professional fees of $435,000 for 2007 as compared to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Research and development expenses discussed above included stock based compensation charges related to option grants to individuals performing these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functions of approximately $270,000, $240,000 and $575,000, respectively, for the years ended December 31, 2008, 2007 and 2006. The increase in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2008 and 2007 was the result of expense related to new option grants calculated on a straight-line basis, which was partially offset by the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expense due to the declining scale of expense related to earlier option grants that were being expensed using the graded vesting method. The decrease in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between 2007 and 2006 was due principally to the cancellation of unvested options due to the resignation of an employee early in 2007, which was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increases in expense related to options granted during 2007. In addition, during the years ended December 31, 2007 and 2006, upon the termination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or the change in status of employees who worked in a development function to consultants, we recorded reversals of approximately $25,000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$40,000, respectively, of previously reported stock-based compensation expense, which represents the difference between the expense recorded and the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would have been recorded based upon the rights to options that vested during the service of these individuals as employees. There were no terminations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conversions to consultant during 2008.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80" w:type="dxa"/>
            <w:vAlign w:val="bottom"/>
            <w:gridSpan w:val="2"/>
          </w:tcPr>
          <w:p>
            <w:pPr>
              <w:ind w:left="460"/>
              <w:spacing w:after="0"/>
              <w:rPr>
                <w:sz w:val="20"/>
                <w:szCs w:val="20"/>
                <w:color w:val="auto"/>
              </w:rPr>
            </w:pPr>
            <w:r>
              <w:rPr>
                <w:rFonts w:ascii="Arial" w:cs="Arial" w:eastAsia="Arial" w:hAnsi="Arial"/>
                <w:sz w:val="18"/>
                <w:szCs w:val="18"/>
                <w:color w:val="auto"/>
              </w:rPr>
              <w:t>Below is a summary of our research and development expenses by major project: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06"/>
        </w:trPr>
        <w:tc>
          <w:tcPr>
            <w:tcW w:w="5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56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212"/>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Project</w:t>
            </w:r>
          </w:p>
        </w:tc>
        <w:tc>
          <w:tcPr>
            <w:tcW w:w="10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2008</w:t>
            </w:r>
          </w:p>
        </w:tc>
        <w:tc>
          <w:tcPr>
            <w:tcW w:w="40" w:type="dxa"/>
            <w:vAlign w:val="bottom"/>
          </w:tcPr>
          <w:p>
            <w:pPr>
              <w:spacing w:after="0"/>
              <w:rPr>
                <w:sz w:val="18"/>
                <w:szCs w:val="18"/>
                <w:color w:val="auto"/>
              </w:rPr>
            </w:pPr>
          </w:p>
        </w:tc>
        <w:tc>
          <w:tcPr>
            <w:tcW w:w="800" w:type="dxa"/>
            <w:vAlign w:val="bottom"/>
            <w:gridSpan w:val="2"/>
          </w:tcPr>
          <w:p>
            <w:pPr>
              <w:jc w:val="center"/>
              <w:ind w:left="215"/>
              <w:spacing w:after="0"/>
              <w:rPr>
                <w:sz w:val="20"/>
                <w:szCs w:val="20"/>
                <w:color w:val="auto"/>
              </w:rPr>
            </w:pPr>
            <w:r>
              <w:rPr>
                <w:rFonts w:ascii="Arial" w:cs="Arial" w:eastAsia="Arial" w:hAnsi="Arial"/>
                <w:sz w:val="18"/>
                <w:szCs w:val="18"/>
                <w:b w:val="1"/>
                <w:bCs w:val="1"/>
                <w:color w:val="auto"/>
                <w:w w:val="84"/>
              </w:rPr>
              <w:t>2007</w:t>
            </w:r>
          </w:p>
        </w:tc>
        <w:tc>
          <w:tcPr>
            <w:tcW w:w="300" w:type="dxa"/>
            <w:vAlign w:val="bottom"/>
          </w:tcPr>
          <w:p>
            <w:pPr>
              <w:spacing w:after="0"/>
              <w:rPr>
                <w:sz w:val="18"/>
                <w:szCs w:val="18"/>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2006</w:t>
            </w:r>
          </w:p>
        </w:tc>
      </w:tr>
      <w:tr>
        <w:trPr>
          <w:trHeight w:val="142"/>
        </w:trPr>
        <w:tc>
          <w:tcPr>
            <w:tcW w:w="560" w:type="dxa"/>
            <w:vAlign w:val="bottom"/>
            <w:tcBorders>
              <w:top w:val="single" w:sz="8" w:color="auto"/>
            </w:tcBorders>
          </w:tcPr>
          <w:p>
            <w:pPr>
              <w:spacing w:after="0"/>
              <w:rPr>
                <w:sz w:val="12"/>
                <w:szCs w:val="12"/>
                <w:color w:val="auto"/>
              </w:rPr>
            </w:pPr>
          </w:p>
        </w:tc>
        <w:tc>
          <w:tcPr>
            <w:tcW w:w="8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ind w:left="160"/>
              <w:spacing w:after="0" w:line="142" w:lineRule="exact"/>
              <w:rPr>
                <w:sz w:val="20"/>
                <w:szCs w:val="20"/>
                <w:color w:val="auto"/>
              </w:rPr>
            </w:pPr>
            <w:r>
              <w:rPr>
                <w:rFonts w:ascii="Arial" w:cs="Arial" w:eastAsia="Arial" w:hAnsi="Arial"/>
                <w:sz w:val="14"/>
                <w:szCs w:val="14"/>
                <w:i w:val="1"/>
                <w:iCs w:val="1"/>
                <w:color w:val="auto"/>
                <w:w w:val="76"/>
              </w:rPr>
              <w:t>(in</w:t>
            </w: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2"/>
                <w:szCs w:val="12"/>
                <w:i w:val="1"/>
                <w:iCs w:val="1"/>
                <w:color w:val="auto"/>
                <w:w w:val="77"/>
              </w:rPr>
              <w:t>thousands)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CORLUX for the treatment of the psychotic features of psychotic depression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$19,759</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CORLUX for other clinical programs</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3,311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Drug discovery research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CORT 108297 pre-clinical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2"/>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14,152</w:t>
            </w:r>
          </w:p>
        </w:tc>
        <w:tc>
          <w:tcPr>
            <w:tcW w:w="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7,860</w:t>
            </w: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20,834</w:t>
            </w:r>
          </w:p>
        </w:tc>
      </w:tr>
      <w:tr>
        <w:trPr>
          <w:trHeight w:val="20"/>
        </w:trPr>
        <w:tc>
          <w:tcPr>
            <w:tcW w:w="56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that research and development expenditures will increase during 2009 as compared to 2008 due to the continuation of our Phase 3 studies in Cushing’s Syndrome and psychotic depression, and to the continued development of our proprietary selective GR-II antagonists. Research and development expenses in 2010 and future years will be largely dependent on the availability of additional funds to finance clinical development plans. See also, “Liquidity and Capital Resources”.</w:t>
      </w:r>
    </w:p>
    <w:p>
      <w:pPr>
        <w:spacing w:after="0" w:line="14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Many factors can affect the cost and timing of our trials including inconclusive results requiring additional clinical trials, slow patient enrollment, adverse side effects in study patients, insufficient supplies for our clinical trials and real or perceived lack of effectiveness or safety of the drug in our trials. The cost and timing of development of our selective GR-II antagonists will be dependent on our success in the effort and any difficulties that may be encountered. In addition, the development of all of our product candidates will be subject to extensive governmental regulation. These factors make it difficult for us to predict the timing and costs of the further development and approval of our product candidates.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consist primarily of the costs of administrative personnel and related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along with legal, accounting and other professional fees.</w:t>
      </w:r>
    </w:p>
    <w:p>
      <w:pPr>
        <w:spacing w:after="0" w:line="132"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General and administrative expenses increased 18% to $5.7 million for the year ended December 31, 2008 from $4.9 million for the year ended December 31, 2007. The increase in costs between years was primarily an increase of approximately $510,000 of legal costs related to patent activities and combined increases in staffing and consultancy costs of approximately $415,000. The changes in staffing costs include increases in non-cash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stock-based compensation of approximately $510,000 and in recruiting costs of approximately $130,000, which were partially offset by a decrease of approximately $320,000 related to bonus compensation. The increase in stock-based compensation was the net result of approximately $315,000 of costs associated with additional stock options being expensed under the straight-line method, decreases of approximately $200,000 associated with the declining scale of expense of options accounted for under the graded vesting method and to the inclusion in 2007 of a reversal of approximately $395,000 of stock-compensation expense in connection with the resignation of an officer, which represented the excess of expense under the graded vesting method as compared with the expense associated with stock options that actually vested prior to this termination.</w:t>
      </w:r>
    </w:p>
    <w:p>
      <w:pPr>
        <w:spacing w:after="0" w:line="120"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General and administrative expenses decreased 3% to approximately $4.9 million for the year ended December 31, 2007, from $5.0 million for the year ended December 31, 2006. The decrease in costs between years was comprised of decreases in legal and professional fees of approximately $100,000 due primarily to lower costs related to patents. Staffing costs also decreased by approximately $30,000 in 2007 as compared to 2006. The changes in staffing costs included a decrease in non-cash stock-based compensation of approximately $160,000, which was offset by increases in salaries and wages of $125,000.</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decreases in stock-based compensation expense during 2007 as compared to 2006 was the net result of the inclusion in 2007 of the reversal of approximately $395,000 of stock-compensation expense in connection with the resignation of an officer, discussed above. There were net increases of approximately $195,000 between 2007 and 2006 in stock-based compensation charges related to stock options granted to officers and employees during 2007, which were partially offset by declining expense of earlier options due to the decelerating scale of expense under the graded vesting method and options cancelled due to the termination.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General and administrative expenses included stock-based compensation expense related to option grants to individuals performing these functions of approximately $1.4 million $1.2 million and $1.0 million, respectively, for the years ended December 31, 2008, 2007 and 2006.</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amount of general and administrative expenses in 2009 and future years will be largely dependent on our assessment of the staff necessary to support our continued clinical development activities and the availability of additional funds. See also, “Liquidity and Capital Resources”.</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Interest and other income, net</w:t>
      </w:r>
      <w:r>
        <w:rPr>
          <w:rFonts w:ascii="Arial" w:cs="Arial" w:eastAsia="Arial" w:hAnsi="Arial"/>
          <w:sz w:val="16"/>
          <w:szCs w:val="16"/>
          <w:color w:val="auto"/>
        </w:rPr>
        <w:t>. Interest and other income, net of investment management fees, was approximately $945,000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2008 as compared to $690,000 for the same period in 2007 and $720,000 in 2006. Interest income in 2008 included approximately $410,000 related to the note receivable in connection with the March 2008 Financing. This increase was partially offset by decreased yields and balances of invested funds as compared to 2007. The decrease in 2007 as compared to 2006 was attributable to decreased interest on investments due to lower average balance of invested funds that was partially offset by higher yields on the investment portfolios.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Other expense</w:t>
      </w:r>
      <w:r>
        <w:rPr>
          <w:rFonts w:ascii="Arial" w:cs="Arial" w:eastAsia="Arial" w:hAnsi="Arial"/>
          <w:sz w:val="16"/>
          <w:szCs w:val="16"/>
          <w:color w:val="auto"/>
        </w:rPr>
        <w:t>. Other expense for 2008 in the amount of $1.3 million is primarily related to the cost of liquidated damages due to the delay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the registration statement of the securities sold in the March 2008 Financing, which was discussed earlier in Part II—Item 5 under the caption “Market for Registrant’s Common Equity, Related Stockholder Matters and Issuer Purchases of Equity Securities—Sale of Unregistered Securities.” Other expense was approximately $15,000 for the year ended December 31, 2007 as compared to $10,000 for the same period in 2006. Other expense in 2007 and 2006 includes interest expense on capitalized leases and state tax on capital which is based on our capital and asset positions as of each year-end.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have incurred operating losses since inception, and at December 31, 2008, we had a deficit accumulated during the development stage of $130.1 million. Since our inception, we have relied primarily on the proceeds from public and private sales of our equity securities to fund our operations.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March 25, 2008, we sold approximately 8.9 million shares of our common stock at a price of $2.77 per share and warrants to purchase approximately 4.5 million shares of our common stock, at a price of $0.125 per warrant in a private placement. The warrants have a seven year term and an exercise price of $2.77 per share. The March 2008 Financing generated approximately $25 million in net cash proceeds, after deducting the costs of issuance, and including the collection in February 2009 of the note receivable related to this financing of $6.0 million.</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On March 25, 2008, we entered into a Committed Equity Financing Facility (CEFF) with Kingsbridge Capital Limited (Kingsbridge), a private investment group. Under the terms of the agreement, Kingsbridge has committed to provide up to $60 million of capital in exchange for newly-issued shares of Corcept’s common stock for a period of up to three years after the Securities and Exchange Commission declares effective the registration statement to be filed by Corcept covering the resale of the shares of common stock issuable in connection with the CEFF and the shares of common stock underlying the warrant discussed below. The maximum number of shares that can be sold by Corcept under this agreement is approximately 9.6 million shares. Under the terms of the agreement, the determination of the exact timing and amount of any CEFF financings will be made solely by Corcept, subject to certain conditions. The agreement currently requires a minimum stock price of $1.50 per share to allow Corcept to issue shares to Kingsbridge under the CEFF. Our share price is unpredictable and if it does not increase above $1.50 per share we may not be able to access funds from Kingsbridge under the CEFF unless we are able to lower the minimum share price requirement. Based on the volume weighted average price on the NASDAQ Capital Market for the Company’s common stock for the period from March 25, 2008, the date of the signing of the Kingsbridge CEFF, through March 15, 2009, the maximum amount of net proceeds that could be raised under the CEFF is approximately $20 million. The actual amount of funds that can be raised under this agreement will be dependent on the number of shares actually sold under the agreement and the market value of Corcept’s stock during the pricing periods of each sale. During the quarter ended September 30, 2008, the Company sold a total of 404,587 shares of common stock to Kingsbridge under the CEFF at an average price of $1.85 per share, for total proceeds of $750,000.</w:t>
      </w:r>
    </w:p>
    <w:p>
      <w:pPr>
        <w:spacing w:after="0" w:line="11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At December 31, 2008, we had cash, cash equivalents and investments balances of $18.3 million, compared to $17.4 million at December 31, 2007. Net cash used in operating activities for the years ended December 31, 2008, 2007 and 2006, were $18.4 million, $11.0 million and $23.2 million, respectively. The use of cash in each period was primarily a result of our research and development activities and amounts incurred to develop our administrative infrastructure. We expect cash used in operating activities to increase during 2009 and later years due to the continuation and expansion of our development programs for psychotic depression, Cushing’s Syndrome and our selective GR-II antagonists, research activities, commercialization activities and general and administrative expenses.</w:t>
      </w:r>
    </w:p>
    <w:p>
      <w:pPr>
        <w:spacing w:after="0" w:line="10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believe that we will have sufficient capital resources to fund our current operating plan into early 2010, which will include the completion of the final reporting for our recently completed psychotic depression trials, the conduct of clinical trials in Cushing’s Syndrome and psychotic depression, and continued development work on our proprietary, selective GR-II antagonists.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will have to perform additional clinical trials prior to submission of NDAs for CORLUX for the treatment of the psychotic features of psychotic depression or for Cushing’s Syndrome. We may need to raise additional funds to complete the development of CORLUX for the treatment of psychotic depression and for Cushing’s Syndrome. In addition, we will need to raise additional funds to prepare for the commercialization of CORLUX for either of these indications, to develop a product for weight gain management associated with the use of antipsychotic medications and to continue and expand the development of our proprietary selective GR-II antagonists.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At any point in time we may have approximately $150,000 to $1.5 million in our operating account with a third party financial institution. While we monitor the cash balance in our operating account and transfer the funds in only as needed, these cash balances could be impacted if the underlying financial institution were to fail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or could be subject to other adverse conditions in the financial markets. On October 23, 2008, the Federal Deposit Insurance Corporation (FDIC) implemented its Temporary Liquidity Guarantee Program. Under this program, non-interest bearing commercial accounts are insured to an unlimited amount through December 31, 2009, thus mitigating our exposure to any possible bank failure. To date, we have experienced no loss or lack of access to cash in our operating accounts.</w:t>
      </w:r>
    </w:p>
    <w:p>
      <w:pPr>
        <w:spacing w:after="0" w:line="143"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Recent global market and economic conditions have been unprecedented and challenging with tighter credit conditions and recession in most major economies continuing into 2009. Continued concerns about the systemic impact of potential long-term and wide-spread recession, energy costs, geopolitical issues, the availability and cost of credit, and the global housing and mortgage markets have contributed to increased market volatility and diminished expectations for western and emerging economies. In the second half of 2008, added concerns fueled by the U.S. government conservatorship of the Federal Home Loan Mortgage Corporation and the Federal National Mortgage Association, the declared bankruptcy of Lehman Brothers Holdings Inc., the U.S. government financial assistance to American International Group Inc., Citibank, Bank of America and other federal government interventions in the U.S. financial system lead to increased market uncertainty and instability in both U.S. and international capital and credit markets. These conditions, combined with volatile oil prices, declining business and consumer confidence and increased unemployment, have contributed to volatility of unprecedented levels.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lead to a decrease in spending by businesses and consumers alike, and a corresponding decrease in global infrastructure spending. Continued turbulence in the U.S. and international markets and economies and prolonged declines in business consumer spending may adversely affect our liquidity and financial condition, and the liquidity and financial condition of our customers, including our ability to refinance maturing liabilities and access the capital markets to meet liquidity needs.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cannot be certain that additional funding will be available on acceptable terms or at all. Further, any additional equity financing may be dilutive to stockholders, and debt financing, if available, may involve restrictive covenants. If we obtain funds through collaborations with others, these arrangements may be on unfavorable terms or may require us to relinquish certain rights to our technologies or product candidates, including potentially our lead product candidate that we would otherwise seek to develop on our own. If adequate funds are not available, we may be required to delay, reduce the scope of or eliminate one or more of our research or development programs or we may be required to discontinue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estimates of obligations under contractual agreements as of December 31,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w:t>
            </w:r>
          </w:p>
        </w:tc>
        <w:tc>
          <w:tcPr>
            <w:tcW w:w="580" w:type="dxa"/>
            <w:vAlign w:val="bottom"/>
          </w:tcPr>
          <w:p>
            <w:pPr>
              <w:jc w:val="right"/>
              <w:ind w:right="75"/>
              <w:spacing w:after="0"/>
              <w:rPr>
                <w:sz w:val="20"/>
                <w:szCs w:val="20"/>
                <w:color w:val="auto"/>
              </w:rPr>
            </w:pPr>
            <w:r>
              <w:rPr>
                <w:rFonts w:ascii="Arial" w:cs="Arial" w:eastAsia="Arial" w:hAnsi="Arial"/>
                <w:sz w:val="18"/>
                <w:szCs w:val="18"/>
                <w:b w:val="1"/>
                <w:bCs w:val="1"/>
                <w:color w:val="auto"/>
              </w:rPr>
              <w:t>1-3</w:t>
            </w:r>
          </w:p>
        </w:tc>
        <w:tc>
          <w:tcPr>
            <w:tcW w:w="46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More than</w:t>
            </w:r>
          </w:p>
        </w:tc>
        <w:tc>
          <w:tcPr>
            <w:tcW w:w="0" w:type="dxa"/>
            <w:vAlign w:val="bottom"/>
          </w:tcPr>
          <w:p>
            <w:pPr>
              <w:spacing w:after="0"/>
              <w:rPr>
                <w:sz w:val="1"/>
                <w:szCs w:val="1"/>
                <w:color w:val="auto"/>
              </w:rPr>
            </w:pPr>
          </w:p>
        </w:tc>
      </w:tr>
      <w:tr>
        <w:trPr>
          <w:trHeight w:val="229"/>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Payments Due by Period</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1 year</w:t>
            </w:r>
          </w:p>
        </w:tc>
        <w:tc>
          <w:tcPr>
            <w:tcW w:w="1040" w:type="dxa"/>
            <w:vAlign w:val="bottom"/>
            <w:gridSpan w:val="2"/>
          </w:tcPr>
          <w:p>
            <w:pPr>
              <w:jc w:val="center"/>
              <w:ind w:right="392"/>
              <w:spacing w:after="0"/>
              <w:rPr>
                <w:sz w:val="20"/>
                <w:szCs w:val="20"/>
                <w:color w:val="auto"/>
              </w:rPr>
            </w:pPr>
            <w:r>
              <w:rPr>
                <w:rFonts w:ascii="Arial" w:cs="Arial" w:eastAsia="Arial" w:hAnsi="Arial"/>
                <w:sz w:val="18"/>
                <w:szCs w:val="18"/>
                <w:b w:val="1"/>
                <w:bCs w:val="1"/>
                <w:color w:val="auto"/>
                <w:w w:val="85"/>
              </w:rPr>
              <w:t>Years</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1"/>
              </w:rPr>
              <w:t>Years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ind w:left="420"/>
              <w:spacing w:after="0" w:line="143" w:lineRule="exact"/>
              <w:rPr>
                <w:sz w:val="20"/>
                <w:szCs w:val="20"/>
                <w:color w:val="auto"/>
              </w:rPr>
            </w:pPr>
            <w:r>
              <w:rPr>
                <w:rFonts w:ascii="Arial" w:cs="Arial" w:eastAsia="Arial" w:hAnsi="Arial"/>
                <w:sz w:val="14"/>
                <w:szCs w:val="14"/>
                <w:i w:val="1"/>
                <w:iCs w:val="1"/>
                <w:color w:val="auto"/>
                <w:w w:val="89"/>
              </w:rPr>
              <w:t>(in</w:t>
            </w:r>
          </w:p>
        </w:tc>
        <w:tc>
          <w:tcPr>
            <w:tcW w:w="880" w:type="dxa"/>
            <w:vAlign w:val="bottom"/>
            <w:gridSpan w:val="2"/>
          </w:tcPr>
          <w:p>
            <w:pPr>
              <w:jc w:val="right"/>
              <w:ind w:right="172"/>
              <w:spacing w:after="0" w:line="143" w:lineRule="exact"/>
              <w:rPr>
                <w:sz w:val="20"/>
                <w:szCs w:val="20"/>
                <w:color w:val="auto"/>
              </w:rPr>
            </w:pPr>
            <w:r>
              <w:rPr>
                <w:rFonts w:ascii="Arial" w:cs="Arial" w:eastAsia="Arial" w:hAnsi="Arial"/>
                <w:sz w:val="14"/>
                <w:szCs w:val="14"/>
                <w:i w:val="1"/>
                <w:iCs w:val="1"/>
                <w:color w:val="auto"/>
                <w:w w:val="86"/>
              </w:rPr>
              <w:t>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Research and development studies </w:t>
            </w:r>
            <w:r>
              <w:rPr>
                <w:rFonts w:ascii="Arial" w:cs="Arial" w:eastAsia="Arial" w:hAnsi="Arial"/>
                <w:sz w:val="22"/>
                <w:szCs w:val="22"/>
                <w:color w:val="auto"/>
                <w:vertAlign w:val="superscript"/>
              </w:rPr>
              <w:t>(1) through (4)</w:t>
            </w:r>
          </w:p>
        </w:tc>
        <w:tc>
          <w:tcPr>
            <w:tcW w:w="318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5,205</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$13,390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Operating lease </w:t>
            </w:r>
            <w:r>
              <w:rPr>
                <w:rFonts w:ascii="Arial" w:cs="Arial" w:eastAsia="Arial" w:hAnsi="Arial"/>
                <w:sz w:val="22"/>
                <w:szCs w:val="22"/>
                <w:color w:val="auto"/>
                <w:vertAlign w:val="superscript"/>
              </w:rPr>
              <w:t>(5)</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241</w:t>
            </w: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241</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Capital leases </w:t>
            </w:r>
            <w:r>
              <w:rPr>
                <w:rFonts w:ascii="Arial" w:cs="Arial" w:eastAsia="Arial" w:hAnsi="Arial"/>
                <w:sz w:val="22"/>
                <w:szCs w:val="22"/>
                <w:color w:val="auto"/>
                <w:vertAlign w:val="superscript"/>
              </w:rPr>
              <w:t>(6)</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Minimum royalty payments </w:t>
            </w:r>
            <w:r>
              <w:rPr>
                <w:rFonts w:ascii="Arial" w:cs="Arial" w:eastAsia="Arial" w:hAnsi="Arial"/>
                <w:sz w:val="22"/>
                <w:szCs w:val="22"/>
                <w:color w:val="auto"/>
                <w:vertAlign w:val="superscript"/>
              </w:rPr>
              <w:t>(7)</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3"/>
              </w:rPr>
              <w:t>50 per year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13,737</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$ 100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50 per year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60" w:type="dxa"/>
            <w:vAlign w:val="bottom"/>
            <w:vMerge w:val="restart"/>
          </w:tcPr>
          <w:p>
            <w:pPr>
              <w:jc w:val="right"/>
              <w:ind w:right="1552"/>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Amounts reflected for research and development studies exclude amounts included in accounts payable and accrued clinical costs reflected on the balance sheet as of December 31, 2008.</w:t>
      </w:r>
    </w:p>
    <w:p>
      <w:pPr>
        <w:spacing w:after="0" w:line="22" w:lineRule="exact"/>
        <w:rPr>
          <w:rFonts w:ascii="Arial" w:cs="Arial" w:eastAsia="Arial" w:hAnsi="Arial"/>
          <w:sz w:val="12"/>
          <w:szCs w:val="12"/>
          <w:color w:val="auto"/>
        </w:rPr>
      </w:pPr>
    </w:p>
    <w:p>
      <w:pPr>
        <w:ind w:left="340" w:right="12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During 2004 through 2006, we executed a number of agreements to conduct clinical trials and pre-clinical studies for further development of our lead product, CORLUX, targeted for the treatment of the psychotic features of psychotic depression. The agreements provide for termination by us upon forty-five days’ written notice or less. The exact amounts and timing of these obligations are dependent on the pace of activities of the various trials and studies. As of December 31, 2008, substantially all patient activities had been completed and remaining reporting activities are expected to be completed in 2009.</w:t>
      </w:r>
    </w:p>
    <w:p>
      <w:pPr>
        <w:spacing w:after="0" w:line="1" w:lineRule="exact"/>
        <w:rPr>
          <w:rFonts w:ascii="Arial" w:cs="Arial" w:eastAsia="Arial" w:hAnsi="Arial"/>
          <w:sz w:val="14"/>
          <w:szCs w:val="14"/>
          <w:color w:val="auto"/>
        </w:rPr>
      </w:pPr>
    </w:p>
    <w:p>
      <w:pPr>
        <w:ind w:left="340" w:right="100" w:hanging="332"/>
        <w:spacing w:after="0" w:line="25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During 2007 and 2008, we signed agreements for services in connection with our trial for CORLUX for the treatment of Cushing’s Syndrome. The total commitment under these agreements is approximately $1.6 million. Approximately $365,000 of costs under these agreements have been expensed as of December 31, 2008, with the remainder to be expensed over the remainder of the trial. Under the master agreement with these vendors, the agreements may be terminated upon sixty days notice to the vendors. If terminated early, we would be responsible for the costs incurred by the vendor through the effective date of the termination plus cancellation charges as stipulated in the various agreements.</w:t>
      </w:r>
    </w:p>
    <w:p>
      <w:pPr>
        <w:ind w:left="340" w:right="80" w:hanging="332"/>
        <w:spacing w:after="0" w:line="25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During 2008, we signed agreements for services in connection with our fourth Phase 3 trial to confirm the utility of CORLUX for the treatment of the psychotic features of psychotic depression. The total commitment under these agreements is approximately $21.1 million, approximately $3.9 million of which was expensed during 2008 with the remainder to be incurred over the course of the trial. Under the master services agreements with these vendors, the project contracts may be terminated upon thirty to sixty day’s notice. If terminated early, we would be responsible for the costs incurred by the vendors through the effective date of termination plus cancellation charges as stipulated in the agreements.</w:t>
      </w:r>
    </w:p>
    <w:p>
      <w:pPr>
        <w:ind w:left="340" w:righ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October 2008, we renewed the operating lease agreement for our office facility for a two-year term commencing on January 1, 2009. The new lease provides us an option to extend the lease for an additional year upon 180 days notice.</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During 2005, we entered into capital leases for the acquisition of certain pieces of office furniture and equipment.</w:t>
      </w:r>
    </w:p>
    <w:p>
      <w:pPr>
        <w:ind w:left="340" w:right="200" w:hanging="332"/>
        <w:spacing w:after="0" w:line="230"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Under our cancellable license agreement with Stanford University, we are obligated to make nonrefundable minimum royalty payments of $50,000 annually for as long as we maintain our licenses with Stanford; however, these payments are creditable against future royalties.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other contractual payment obligations, the timing of which is contingent on future events.</w:t>
      </w:r>
    </w:p>
    <w:p>
      <w:pPr>
        <w:spacing w:after="0" w:line="34" w:lineRule="exact"/>
        <w:rPr>
          <w:sz w:val="20"/>
          <w:szCs w:val="20"/>
          <w:color w:val="auto"/>
        </w:rPr>
      </w:pPr>
    </w:p>
    <w:p>
      <w:pPr>
        <w:jc w:val="both"/>
        <w:ind w:left="340" w:right="280" w:hanging="332"/>
        <w:spacing w:after="0" w:line="227"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4"/>
          <w:szCs w:val="14"/>
          <w:color w:val="auto"/>
        </w:rPr>
        <w:t>Under our license agreement with Stanford University related to the patent covering the use of GR-II antagonists to treat the psychosis associated with psychotic depression and early dementia, we are obligated to make milestone payments to Stanford of $50,000 upon filing of an NDA covering the licensed product and $200,000 upon FDA approval of the licensed product. The milestone payments payable to Stanford under these licenses are creditable against future royalties.</w:t>
      </w:r>
    </w:p>
    <w:p>
      <w:pPr>
        <w:ind w:left="340" w:hanging="332"/>
        <w:spacing w:after="0" w:line="258" w:lineRule="auto"/>
        <w:tabs>
          <w:tab w:leader="none" w:pos="340" w:val="left"/>
        </w:tabs>
        <w:numPr>
          <w:ilvl w:val="0"/>
          <w:numId w:val="38"/>
        </w:numPr>
        <w:rPr>
          <w:rFonts w:ascii="Arial" w:cs="Arial" w:eastAsia="Arial" w:hAnsi="Arial"/>
          <w:sz w:val="10"/>
          <w:szCs w:val="10"/>
          <w:color w:val="auto"/>
        </w:rPr>
      </w:pPr>
      <w:r>
        <w:rPr>
          <w:rFonts w:ascii="Arial" w:cs="Arial" w:eastAsia="Arial" w:hAnsi="Arial"/>
          <w:sz w:val="12"/>
          <w:szCs w:val="12"/>
          <w:color w:val="auto"/>
        </w:rPr>
        <w:t>Under the agreement with our contract research company we may be obligated to make milestone payments upon the occurrence of certain events, including: (i) patent filings in connection with the project; (ii) entries into Phase 1 clinical trials; and (iii) national regulatory approval of each product arising from work performed under the agreement, provided that sales of the product by the Company or any future licensees reach $5,000,000. These obligations remain in force after the conclusion of work under the agreement. There are no royalty obligations associated with this contract.</w:t>
      </w:r>
    </w:p>
    <w:p>
      <w:pPr>
        <w:ind w:left="340" w:right="120" w:hanging="332"/>
        <w:spacing w:after="0" w:line="211"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4"/>
          <w:szCs w:val="14"/>
          <w:color w:val="auto"/>
        </w:rPr>
        <w:t>Our agreement with ScinoPharm Taiwan that provides for the manufacture and supply of the active pharmaceutical ingredient for CORLUX includes a minimum purchase commitment of $1,000,000 per year following the commercial launch of CORLUX. This agreement may be terminated by us at any time without penalty.</w:t>
      </w:r>
    </w:p>
    <w:p>
      <w:pPr>
        <w:ind w:left="340" w:right="100" w:hanging="332"/>
        <w:spacing w:after="0" w:line="241" w:lineRule="auto"/>
        <w:tabs>
          <w:tab w:leader="none" w:pos="340" w:val="left"/>
        </w:tabs>
        <w:numPr>
          <w:ilvl w:val="0"/>
          <w:numId w:val="38"/>
        </w:numPr>
        <w:rPr>
          <w:rFonts w:ascii="Arial" w:cs="Arial" w:eastAsia="Arial" w:hAnsi="Arial"/>
          <w:sz w:val="11"/>
          <w:szCs w:val="11"/>
          <w:color w:val="auto"/>
        </w:rPr>
      </w:pPr>
      <w:r>
        <w:rPr>
          <w:rFonts w:ascii="Arial" w:cs="Arial" w:eastAsia="Arial" w:hAnsi="Arial"/>
          <w:sz w:val="14"/>
          <w:szCs w:val="14"/>
          <w:color w:val="auto"/>
        </w:rPr>
        <w:t>On November 8, 2006, we signed an agreement with Produits Chimiques Auxiliaires et de Synthese SA (“PCAS”) for the manufacture of mifepristone, the active pharmaceutical ingredient in CORLUX, for our development and commercial needs for an initial period of five years. The agreement provides for an automatic extension for one additional year unless either party gives twelve month’s prior notice that it does not want the extension. There is no guaranteed minimum purchase commitment under this agreement. If PCAS is unable to manufacture the product for a consecutive six-month period, we have the right to terminate the agreement without penalty.</w:t>
      </w:r>
    </w:p>
    <w:p>
      <w:pPr>
        <w:spacing w:after="0" w:line="154"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January 2009, we signed an agreement for the manufacture of materials and the performance of pre-clinical work in regard to our selective GR-II antagonist, CORT 108297, for a commitment of approximately $835,000, which is expected to be incurred during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At December 31, 2008 we had approximately $61.3 million of federal net operating loss carryforwards and approximately $1.0 million in federal research and development tax credit carryforwards, as well as approximately $61.2 million of California net operating loss carryforwards and approximately $900,000 in California research and development tax credit carryforwards, available to offset any future taxable income we may generate. The federal and California net operating loss and tax credit carryforwards will expire beginning in 2019 and 2009, respectively. Our deferred tax assets have been offset by a full valuation allowance as the realization of such assets is uncertain. The Internal Revenue Code of 1986, as amended, places certain limitations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on the annual amount of net operating loss and tax credit carryforwards that can be utilized in any particular year if certain changes in our ownership occur.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do not have any off-balance sheet arrangements as of December 31, 2008, with the exception of the operating lease for our office space. As discussed above under Part I, Item 2, Properties, in October 2008, we signed an agreement to extend the office lease for an additional two year term at a monthly rental rate of approximately $20,000, plus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judgments that affect the reported amounts of assets, liabilities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t>
      </w:r>
      <w:r>
        <w:rPr>
          <w:rFonts w:ascii="Arial" w:cs="Arial" w:eastAsia="Arial" w:hAnsi="Arial"/>
          <w:sz w:val="16"/>
          <w:szCs w:val="16"/>
          <w:i w:val="1"/>
          <w:iCs w:val="1"/>
          <w:color w:val="auto"/>
        </w:rPr>
        <w:t>Collaboration revenue</w:t>
      </w:r>
      <w:r>
        <w:rPr>
          <w:rFonts w:ascii="Arial" w:cs="Arial" w:eastAsia="Arial" w:hAnsi="Arial"/>
          <w:sz w:val="16"/>
          <w:szCs w:val="16"/>
          <w:color w:val="auto"/>
        </w:rPr>
        <w:t>. Collaboration revenue relates to services rendered in connection with agreements signed with Eli Lilly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Lilly, in which Lilly has agreed to support certain of the Company’s pre-clinical and clinical proof-of-concept studies evaluating the ability of our product candidates to mitigate or prevent weight gain associated with the use of Zyprexa (olanzapine), an atypical antipsychotic medication. Under the agreements, Lilly has agreed to supply the Zyprexa and olanzapine and pay for the studies. We are required to perform development activities as specified in these agreements and are reimbursed based on the costs associated with the conduct of the trial and the preparation and packaging of clinical trial materials. Revenue is recognized as services are rendered in accordance with the agreement.</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Accruals of Research and Development Costs</w:t>
      </w:r>
      <w:r>
        <w:rPr>
          <w:rFonts w:ascii="Arial" w:cs="Arial" w:eastAsia="Arial" w:hAnsi="Arial"/>
          <w:sz w:val="16"/>
          <w:szCs w:val="16"/>
          <w:color w:val="auto"/>
        </w:rPr>
        <w:t>. We recorded accruals for estimated costs of research, pre-clinical and clinical studies, and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approximately $990,000 and $880,000 as of December 31, 2008 and 2007, respectively. These costs are a significant component of our research and development expenses. We make significant judgments and estimates in determining the accrual balance in each reporting period. Accrued clinical trial costs are based on estimates of the work completed under the service agreements, milestones achieved, patient enrollment and past experience with similar contracts and service providers. Our estimate of the work completed and associated costs to be accrued includes our assessment of the information received from our third-party contract research organizations and the overall status of our clinical trial activities. In the past, we have not experienced any material deviations between accrued clinical trial expenses and actual clinical trial expenses. However, actual services performed, number of patients enrolled and the rate of patient enrollment may vary from our estimates, resulting in adjustments to clinical trial expense in future periods.</w:t>
      </w:r>
    </w:p>
    <w:p>
      <w:pPr>
        <w:spacing w:after="0" w:line="118" w:lineRule="exact"/>
        <w:rPr>
          <w:sz w:val="20"/>
          <w:szCs w:val="20"/>
          <w:color w:val="auto"/>
        </w:rPr>
      </w:pPr>
    </w:p>
    <w:p>
      <w:pPr>
        <w:ind w:left="460"/>
        <w:spacing w:after="0"/>
        <w:tabs>
          <w:tab w:leader="none" w:pos="2540" w:val="left"/>
        </w:tabs>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Stock-based compensation arises from the granting of stock options to employees and directors, as well as to non-employees.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Employees and directors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We adopted Statement of Financial Accounting Standard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or SFAS 123R, as of January 1, 2006 under the “modified prospective” method, in which compensation cost is recognized beginning with the effective date (a) based on the requirements of Statement 123R for all share-based payment arrangements with employees granted or modified after the effective date and (b) based on the requirements of Statement 123 for all awards granted to employees and directors prior to the effective date of Statement 123R that remain non-vested on the effective date. Prior to the adoption of SFAS 123R, we had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accounted for stock-based compensation for options granted to employees and directors using the intrinsic value method prescribed in Accounting Principles Board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or APB 25, and had adopted the disclosure-only alternative of SFAS No. 123,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or SFAS 123, as amended by SFAS No. 148,</w:t>
      </w:r>
      <w:r>
        <w:rPr>
          <w:rFonts w:ascii="Arial" w:cs="Arial" w:eastAsia="Arial" w:hAnsi="Arial"/>
          <w:sz w:val="18"/>
          <w:szCs w:val="18"/>
          <w:i w:val="1"/>
          <w:iCs w:val="1"/>
          <w:color w:val="auto"/>
        </w:rPr>
        <w:t xml:space="preserve"> Accounting for Stock-Based Compensation—Transition and Disclosure, </w:t>
      </w:r>
      <w:r>
        <w:rPr>
          <w:rFonts w:ascii="Arial" w:cs="Arial" w:eastAsia="Arial" w:hAnsi="Arial"/>
          <w:sz w:val="18"/>
          <w:szCs w:val="18"/>
          <w:color w:val="auto"/>
        </w:rPr>
        <w:t>or SFAS 148.</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we had used the “minimum” value method for SFAS 123 pro forma disclosure requirements for options granted prior to the IPO in 2004, we continue to account for the portion of these pre-IPO grants that were non-vested as of January 1, 2006 under the provisions of APB 25 and related Interpretations, with pro forma disclosures under SFAS 123.</w:t>
      </w:r>
    </w:p>
    <w:p>
      <w:pPr>
        <w:spacing w:after="0" w:line="144"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Under APB 25, we recorded deferred stock-based compensation related to option grants to employees and directors that represents the difference, if any, between the exercise price of an option and the fair value of our common stock on the date of the grant. Given the absence of an active market for our common stock prior to the time of our IPO in April 2004, management was required to estimate the fair value of our common stock based on a variety of company and industry-specific factors for the purpose of measuring the cost of the transaction and properly reflecting it in our financial statements. Since our IPO, all stock options have been granted at exercise prices that represent the closing price for the stock on the Nasdaq Capital Market as of the date of grant. Deferred compensation is included as a reduction of stockholders’ equity and is being amortized to expense over the vesting period of the underlying options, generally five years. Our policy has been to use the graded-vesting method for recognizing compensation costs for fixed employee awards for all awards granted through December 31, 2005. We amortize the deferred stock-based compensation of employee options using the graded-vesting attribution method over the vesting periods of the applicable stock options. The graded-vesting method provides for vesting of portions of the overall awards at interim dates and results in greater expense in earlier years than the straight-line method. Upon termination of employment, the difference between the expense recorded under the graded-vesting method and the expense that would have been recorded based upon the vesting of the related option is required to be reversed. The deferred compensation costs related to these options has been fully recognized as of September 30, 2008.</w:t>
      </w:r>
    </w:p>
    <w:p>
      <w:pPr>
        <w:spacing w:after="0" w:line="12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Following is a brief synopsis of the implications of adoption of this statement on our accounting practices and the estimates and judgments that are considered in determining fair value in regard to stock option grants to employees and directors:</w:t>
      </w:r>
    </w:p>
    <w:p>
      <w:pPr>
        <w:spacing w:after="0" w:line="51" w:lineRule="exact"/>
        <w:rPr>
          <w:sz w:val="20"/>
          <w:szCs w:val="20"/>
          <w:color w:val="auto"/>
        </w:rPr>
      </w:pPr>
    </w:p>
    <w:p>
      <w:pPr>
        <w:ind w:left="660" w:right="22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grant date fair value for all new grants issued after January 1, 2006 is being amortized to expense using the straight-line method over the vesting period of the options.</w:t>
      </w:r>
    </w:p>
    <w:p>
      <w:pPr>
        <w:spacing w:after="0" w:line="50" w:lineRule="exact"/>
        <w:rPr>
          <w:rFonts w:ascii="Arial" w:cs="Arial" w:eastAsia="Arial" w:hAnsi="Arial"/>
          <w:sz w:val="18"/>
          <w:szCs w:val="18"/>
          <w:color w:val="auto"/>
        </w:rPr>
      </w:pPr>
    </w:p>
    <w:p>
      <w:pPr>
        <w:ind w:left="660" w:right="200" w:hanging="206"/>
        <w:spacing w:after="0" w:line="298"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expected term used in determining the fair value for options is based on the “simple” method prescribed by the Securities and Exchange Commission, or SEC, in Staff Accounting Bulletins 107 and 110, and considers the weighted average of the vesting period and contractual life of the options. There has been no adjustment made to the expected term to adjust for employees’ expected exercise and expected post-vesting termination behavior because we have a limited employee base and do not have sufficient historical information to determine such an adjustment.</w:t>
      </w:r>
    </w:p>
    <w:p>
      <w:pPr>
        <w:spacing w:after="0" w:line="31" w:lineRule="exact"/>
        <w:rPr>
          <w:rFonts w:ascii="Arial" w:cs="Arial" w:eastAsia="Arial" w:hAnsi="Arial"/>
          <w:sz w:val="16"/>
          <w:szCs w:val="16"/>
          <w:color w:val="auto"/>
        </w:rPr>
      </w:pPr>
    </w:p>
    <w:p>
      <w:pPr>
        <w:ind w:left="660" w:right="20" w:hanging="206"/>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expected volatility of our common stock used in determining the fair value of option grants is based on a weighted-average combination of the volatility of our own stock price and that of a group of peer companies since we do not have sufficient historical data from which to base an appropriate volatility assumption.</w:t>
      </w:r>
    </w:p>
    <w:p>
      <w:pPr>
        <w:spacing w:after="0" w:line="59"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Since we have a limited employee base, at this time we do not have sufficient historical information to determine a reasonable forfeiture rate for options that might not vest because of employee terminations. When an employee terminates, we will record a change in accounting estimate that represents the difference between the expense recorded under the straight-line method and the expense that would have been recorded based upon the rights to options that vested during the individual’s service as an employee.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the Company had the following amounts of unrecognized compensation expense for employee options outstanding as of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r>
      <w:tr>
        <w:trPr>
          <w:trHeight w:val="229"/>
        </w:trPr>
        <w:tc>
          <w:tcPr>
            <w:tcW w:w="6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r>
      <w:tr>
        <w:trPr>
          <w:trHeight w:val="143"/>
        </w:trPr>
        <w:tc>
          <w:tcPr>
            <w:tcW w:w="6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i w:val="1"/>
                <w:iCs w:val="1"/>
                <w:color w:val="auto"/>
                <w:w w:val="85"/>
              </w:rPr>
              <w:t>(in thousands)</w:t>
            </w:r>
          </w:p>
        </w:tc>
        <w:tc>
          <w:tcPr>
            <w:tcW w:w="9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i w:val="1"/>
                <w:iCs w:val="1"/>
                <w:color w:val="auto"/>
                <w:w w:val="92"/>
              </w:rPr>
              <w:t>(in years)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after IPO through 2005, using fair value under SFAS 123</w:t>
            </w: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Options granted after January 1, 2006, using fair value under SFAS 123R</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9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3,480</w:t>
            </w:r>
          </w:p>
        </w:tc>
        <w:tc>
          <w:tcPr>
            <w:tcW w:w="780" w:type="dxa"/>
            <w:vAlign w:val="bottom"/>
            <w:shd w:val="clear" w:color="auto" w:fill="CCEEFF"/>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Non-employees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Stock-based compensation related to option grants to non-employees is charged to expense on a straight line basis over the vesting period of the options, based on the fair value of the options, which approximates the period over which the related services are rendered, using the Black-Scholes option pricing model. The assumptions used in these calculations are similar to those used for the determination of fair value under SFAS 123 and 123R for options granted to employees, with the exception that, for non-employee options, we are required to use the remaining contractual term as the life of the option and the fair value related to unvested non-employee options is re-measured quarterly, based on the then current stock price as reflected on the Nasdaq Capital Market.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September 2006, the FASB issued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This statement does not require any new fair value measurements but clarifies the fair value definition, establishes a fair value hierarchy that prioritizes the information used to develop assumptions for measuring fair value and expands disclosures about fair value measurements. Effective January 1, 2008, we adopted SFAS No. 157. The fair value hierarchy gives the highest priority to quoted prices in active markets for identical assets or liabilities (Level 1 input), then to quoted prices (in non-active markets or in active markets for similar assets or liabilities), inputs other than quoted prices that are observable for the asset or liability, and inputs that are not directly observable, but that are corroborated by observable market data for the asset or liability (Level 2 input), then the lowest priority to unobservable inputs, for example, the Company’s own data about the assumptions that market participants would use in pricing an asset or liability (Level 3 input). It emphasizes that fair value is a market-based measurement, not an entity-specific measurement, and a fair value measurement should therefore be based on the assumptions that market participants would use in pricing the asset or liability. In February 2008, the FASB issued FASB Staff Position No. FAS 157-2, </w:t>
      </w:r>
      <w:r>
        <w:rPr>
          <w:rFonts w:ascii="Arial" w:cs="Arial" w:eastAsia="Arial" w:hAnsi="Arial"/>
          <w:sz w:val="16"/>
          <w:szCs w:val="16"/>
          <w:i w:val="1"/>
          <w:iCs w:val="1"/>
          <w:color w:val="auto"/>
        </w:rPr>
        <w:t>Effective Date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157</w:t>
      </w:r>
      <w:r>
        <w:rPr>
          <w:rFonts w:ascii="Arial" w:cs="Arial" w:eastAsia="Arial" w:hAnsi="Arial"/>
          <w:sz w:val="16"/>
          <w:szCs w:val="16"/>
          <w:color w:val="auto"/>
        </w:rPr>
        <w:t>, which provides a one year deferral of the effective date of SFAS 157 for nonfinancial assets and nonfinancial liabilities, except those that are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or disclosed in the financial statements at fair value on a recurring basis at least annually, which are deferred until fiscal years beginning after November 15, 2008 and interim periods within those fiscal years.</w:t>
      </w:r>
    </w:p>
    <w:p>
      <w:pPr>
        <w:spacing w:after="0" w:line="12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order to determine the implications of adopting SFAS 157, the Company reviewed all the assets and liabilities recorded on its balance sheet. Based on the results of its review, the Company determined that a majority of its assets and liabilities are either not required to be measured at fair value in its financial statements, are outside the scope of SFAS 157, or are subject to the deferred implementation provisions of FSP No. 157-2. Therefore, the only assets and liabilities in the Company’s financial statements subject to SFAS 157 (i.e. measured at fair value on a recurring basis) at December 31, 2008 are the Company’s investment portfolio.</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 No. 115 </w:t>
      </w:r>
      <w:r>
        <w:rPr>
          <w:rFonts w:ascii="Arial" w:cs="Arial" w:eastAsia="Arial" w:hAnsi="Arial"/>
          <w:sz w:val="18"/>
          <w:szCs w:val="18"/>
          <w:color w:val="auto"/>
        </w:rPr>
        <w:t>(SFAS 159). This statement allows entities to voluntarily to choose to measure many financial assets and liabilities as well as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nonfinancial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instruments that are similar to financial instruments (collectively, eligible items) at fair value (the fair value option). The election is made on instrument-by-instrument basis and is irrevocable. The objective is to improve financial reporting by providing entities with the opportunity to mitigate volatility in reported earnings caused by measuring related assets and liabilities differently without having to apply complex hedge accounting provisions. The statement is effective as of the beginning of an entity’s first fiscal year that begins after November 15, 2007. We adopted SFAS 159 on January 1. 2008 and did not make any elections for fair value accounting. Therefore, there was no material effect on our financial statements on the implementation of this standard.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Effective January 1, 2008, we also adopted Issue No. 07-3, </w:t>
      </w:r>
      <w:r>
        <w:rPr>
          <w:rFonts w:ascii="Arial" w:cs="Arial" w:eastAsia="Arial" w:hAnsi="Arial"/>
          <w:sz w:val="16"/>
          <w:szCs w:val="16"/>
          <w:i w:val="1"/>
          <w:iCs w:val="1"/>
          <w:color w:val="auto"/>
        </w:rPr>
        <w:t>Accounting for Nonrefundable Advance Payments for Goods or Services to Be Used in Future</w:t>
      </w:r>
      <w:r>
        <w:rPr>
          <w:rFonts w:ascii="Arial" w:cs="Arial" w:eastAsia="Arial" w:hAnsi="Arial"/>
          <w:sz w:val="16"/>
          <w:szCs w:val="16"/>
          <w:color w:val="auto"/>
        </w:rPr>
        <w:t xml:space="preserve"> </w:t>
      </w:r>
      <w:r>
        <w:rPr>
          <w:rFonts w:ascii="Arial" w:cs="Arial" w:eastAsia="Arial" w:hAnsi="Arial"/>
          <w:sz w:val="16"/>
          <w:szCs w:val="16"/>
          <w:i w:val="1"/>
          <w:iCs w:val="1"/>
          <w:color w:val="auto"/>
        </w:rPr>
        <w:t>Research and Development Activities</w:t>
      </w:r>
      <w:r>
        <w:rPr>
          <w:rFonts w:ascii="Arial" w:cs="Arial" w:eastAsia="Arial" w:hAnsi="Arial"/>
          <w:sz w:val="16"/>
          <w:szCs w:val="16"/>
          <w:color w:val="auto"/>
        </w:rPr>
        <w:t>, or EITF 07-3, which was adopted by the Emerging Issues Task Force of the Financial Accounting Standards Board, or</w:t>
      </w:r>
      <w:r>
        <w:rPr>
          <w:rFonts w:ascii="Arial" w:cs="Arial" w:eastAsia="Arial" w:hAnsi="Arial"/>
          <w:sz w:val="16"/>
          <w:szCs w:val="16"/>
          <w:i w:val="1"/>
          <w:iCs w:val="1"/>
          <w:color w:val="auto"/>
        </w:rPr>
        <w:t xml:space="preserve"> </w:t>
      </w:r>
      <w:r>
        <w:rPr>
          <w:rFonts w:ascii="Arial" w:cs="Arial" w:eastAsia="Arial" w:hAnsi="Arial"/>
          <w:sz w:val="16"/>
          <w:szCs w:val="16"/>
          <w:color w:val="auto"/>
        </w:rPr>
        <w:t>EITF, in June 2007. EITF 07-3 requires that nonrefundable advance payments for future research and development activities should be deferred and recognized as expense as the goods are delivered or the related services are performed, unless the entity does not expect the goods to be delivered or the services to be rendered. EITF 07-3 is effective for the fiscal years beginning after December 31, 2007, including interim periods within those fiscal years. There was no effect on our financial statements on the implementation of this standard.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December 2007, the Financial Accounting Standards Board, or FASB, ratified EITF No. 07-1, </w:t>
      </w:r>
      <w:r>
        <w:rPr>
          <w:rFonts w:ascii="Arial" w:cs="Arial" w:eastAsia="Arial" w:hAnsi="Arial"/>
          <w:sz w:val="16"/>
          <w:szCs w:val="16"/>
          <w:i w:val="1"/>
          <w:iCs w:val="1"/>
          <w:color w:val="auto"/>
        </w:rPr>
        <w:t>Accounting for Collaborative Arrangements</w:t>
      </w:r>
      <w:r>
        <w:rPr>
          <w:rFonts w:ascii="Arial" w:cs="Arial" w:eastAsia="Arial" w:hAnsi="Arial"/>
          <w:sz w:val="16"/>
          <w:szCs w:val="16"/>
          <w:color w:val="auto"/>
        </w:rPr>
        <w:t>, or EITF 07-</w:t>
      </w:r>
    </w:p>
    <w:p>
      <w:pPr>
        <w:spacing w:after="0" w:line="38" w:lineRule="exact"/>
        <w:rPr>
          <w:sz w:val="20"/>
          <w:szCs w:val="20"/>
          <w:color w:val="auto"/>
        </w:rPr>
      </w:pPr>
    </w:p>
    <w:p>
      <w:pPr>
        <w:ind w:right="20" w:firstLine="8"/>
        <w:spacing w:after="0" w:line="292" w:lineRule="auto"/>
        <w:tabs>
          <w:tab w:leader="none" w:pos="176" w:val="left"/>
        </w:tabs>
        <w:numPr>
          <w:ilvl w:val="0"/>
          <w:numId w:val="40"/>
        </w:numPr>
        <w:rPr>
          <w:rFonts w:ascii="Arial" w:cs="Arial" w:eastAsia="Arial" w:hAnsi="Arial"/>
          <w:sz w:val="16"/>
          <w:szCs w:val="16"/>
          <w:color w:val="auto"/>
        </w:rPr>
      </w:pPr>
      <w:r>
        <w:rPr>
          <w:rFonts w:ascii="Arial" w:cs="Arial" w:eastAsia="Arial" w:hAnsi="Arial"/>
          <w:sz w:val="16"/>
          <w:szCs w:val="16"/>
          <w:color w:val="auto"/>
        </w:rPr>
        <w:t>EITF 07-1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 2008, and would be applied retrospectively as a change in accounting principle for collaborative arrangements existing at the effective date. We do not anticipate that there will be a material effect on our financial statements on the adoption of this standard.</w:t>
      </w:r>
    </w:p>
    <w:p>
      <w:pPr>
        <w:spacing w:after="0" w:line="232" w:lineRule="exact"/>
        <w:rPr>
          <w:sz w:val="20"/>
          <w:szCs w:val="20"/>
          <w:color w:val="auto"/>
        </w:rPr>
      </w:pPr>
    </w:p>
    <w:p>
      <w:pPr>
        <w:ind w:right="3960"/>
        <w:spacing w:after="0" w:line="395"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Quantitative and Qualitative Disclosures About Market Risk </w:t>
      </w:r>
      <w:r>
        <w:rPr>
          <w:rFonts w:ascii="Arial" w:cs="Arial" w:eastAsia="Arial" w:hAnsi="Arial"/>
          <w:sz w:val="18"/>
          <w:szCs w:val="18"/>
          <w:b w:val="1"/>
          <w:bCs w:val="1"/>
          <w:i w:val="1"/>
          <w:iCs w:val="1"/>
          <w:color w:val="auto"/>
        </w:rPr>
        <w:t>Market Risk</w:t>
      </w:r>
    </w:p>
    <w:p>
      <w:pPr>
        <w:spacing w:after="0" w:line="2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of loss. As of December 31, 2008, our cash and cash equivalents consisted primarily of money market funds maintained at major U.S. financial institutions and our short-term investments consist of corporate debt securities and commercial paper with original maturities of less than nine months. As of December 31, 2008, there were no mortgage-backed securities and no auction rate securities in the portfolio. To minimize our exposure to interest rate risk, we have limited the maturities of our investments to less than two years with an average maturity not to exceed one year. The short-term investments held as of December 31, 2008 are all scheduled to mature in less than 5 months. Due to the short-term nature of these instruments, a 1% increase or decrease in market interest rates would not have a material impact on the total value of our portfolio as of December 31, 2008.</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required by this item are set forth beginning at page F-1 of this report and are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(T).CONTROLS AND PROCEDURES</w:t>
      </w:r>
    </w:p>
    <w:p>
      <w:pPr>
        <w:spacing w:after="0" w:line="9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Conclusion Regarding the Effectiveness of Disclosure Controls and Procedures</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b w:val="1"/>
          <w:bCs w:val="1"/>
          <w:i w:val="1"/>
          <w:iCs w:val="1"/>
          <w:color w:val="auto"/>
        </w:rPr>
        <w:t>Evaluation of disclosure controls and procedures</w:t>
      </w:r>
      <w:r>
        <w:rPr>
          <w:rFonts w:ascii="Arial" w:cs="Arial" w:eastAsia="Arial" w:hAnsi="Arial"/>
          <w:sz w:val="15"/>
          <w:szCs w:val="15"/>
          <w:color w:val="auto"/>
        </w:rPr>
        <w:t>. We maintain disclosure controls and procedures that are designed to ensure that information required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disclosed in our periodic and current reports that we file with the SEC is recorded, processed, summarized and reported within the time periods specified in the SEC’s rules and forms, and that such information is accumulated and discussed with our management, including our Chief Executive Officer, Chief Financial Officer and Chief Accounting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2008, our Chief Executive Officer, Chief Financial Officer and Chief Accounting Officer have evaluated our disclosure controls and procedures (as defined in Rules 13a-15(e) and 15d-15(e) of the Securities Exchange Act of 1934, as amended) which were designed to ensure that the information required to be disclosed by us in this Annual Report on Form 10-K was recorded, processed, summarized and reported within the time periods specified in the SEC’s rules and Form 10-K. Our disclosure controls and procedures are designed to provide reasonable, not absolute, assurance that the objectives of our disclosure control system are met. Based on the evaluation, our Chief Executive Officer, Chief Financial Officer and Chief Accounting Officer have concluded that our disclosure controls and procedures are effective.</w:t>
      </w:r>
    </w:p>
    <w:p>
      <w:pPr>
        <w:spacing w:after="0" w:line="16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system is designed to provide reasonable assurance regarding the preparation and fair presentation of financial statements for external purposes in accordance with generally accepted accounting principles. All internal control systems, no matter how well designed, have inherent limitations and can provide only reasonable assurance that the objectives of the internal control system are met.</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Chief Financial Officer and Chief Accounting Officer, we conducted an evaluation of the effectiveness of our internal control over financial reporting, based on criteria established in Internal Control— Integrated Framework issued by the Committee of Sponsoring Organizations of the Treadway Commission (COSO). Based on our evaluation, we concluded that our internal control over financial reporting was effective as of December 31, 2008.</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internal control over financial reporting. Management’s report on internal controls over financial reporting was not subject to attestation by our independent registered public accounting firm pursuant to temporary rules of the Securities and Exchange Commission that permit us to provide only management’s report in this annual report.</w:t>
      </w:r>
    </w:p>
    <w:p>
      <w:pPr>
        <w:spacing w:after="0" w:line="107" w:lineRule="exact"/>
        <w:rPr>
          <w:sz w:val="20"/>
          <w:szCs w:val="20"/>
          <w:color w:val="auto"/>
        </w:rPr>
      </w:pPr>
    </w:p>
    <w:p>
      <w:pPr>
        <w:ind w:right="60" w:firstLine="464"/>
        <w:spacing w:after="0" w:line="268"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Changes in internal controls</w:t>
      </w:r>
      <w:r>
        <w:rPr>
          <w:rFonts w:ascii="Arial" w:cs="Arial" w:eastAsia="Arial" w:hAnsi="Arial"/>
          <w:sz w:val="18"/>
          <w:szCs w:val="18"/>
          <w:color w:val="auto"/>
        </w:rPr>
        <w:t>. There were no changes in our internal controls over financial reporting during the quarter ended December 31, 2008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December 31, 2008, the name, age and occupation of each member of our Board of Directors: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82"/>
              </w:rPr>
              <w:t>Age</w:t>
            </w:r>
          </w:p>
        </w:tc>
        <w:tc>
          <w:tcPr>
            <w:tcW w:w="420" w:type="dxa"/>
            <w:vAlign w:val="bottom"/>
          </w:tcPr>
          <w:p>
            <w:pPr>
              <w:spacing w:after="0"/>
              <w:rPr>
                <w:sz w:val="21"/>
                <w:szCs w:val="21"/>
                <w:color w:val="auto"/>
              </w:rPr>
            </w:pPr>
          </w:p>
        </w:tc>
        <w:tc>
          <w:tcPr>
            <w:tcW w:w="6460" w:type="dxa"/>
            <w:vAlign w:val="bottom"/>
          </w:tcPr>
          <w:p>
            <w:pPr>
              <w:ind w:left="2800"/>
              <w:spacing w:after="0"/>
              <w:rPr>
                <w:sz w:val="20"/>
                <w:szCs w:val="20"/>
                <w:color w:val="auto"/>
              </w:rPr>
            </w:pPr>
            <w:r>
              <w:rPr>
                <w:rFonts w:ascii="Arial" w:cs="Arial" w:eastAsia="Arial" w:hAnsi="Arial"/>
                <w:sz w:val="18"/>
                <w:szCs w:val="18"/>
                <w:b w:val="1"/>
                <w:bCs w:val="1"/>
                <w:color w:val="auto"/>
              </w:rPr>
              <w:t>Occupation</w:t>
            </w:r>
          </w:p>
        </w:tc>
      </w:tr>
      <w:tr>
        <w:trPr>
          <w:trHeight w:val="202"/>
        </w:trPr>
        <w:tc>
          <w:tcPr>
            <w:tcW w:w="4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2"/>
              </w:rPr>
              <w:t>James</w:t>
            </w:r>
          </w:p>
        </w:tc>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N. Wilson</w:t>
            </w:r>
            <w:r>
              <w:rPr>
                <w:rFonts w:ascii="Arial" w:cs="Arial" w:eastAsia="Arial" w:hAnsi="Arial"/>
                <w:sz w:val="22"/>
                <w:szCs w:val="22"/>
                <w:color w:val="auto"/>
                <w:vertAlign w:val="superscript"/>
              </w:rPr>
              <w:t>(3)</w:t>
            </w:r>
          </w:p>
        </w:tc>
        <w:tc>
          <w:tcPr>
            <w:tcW w:w="3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65</w:t>
            </w:r>
          </w:p>
        </w:tc>
        <w:tc>
          <w:tcPr>
            <w:tcW w:w="420" w:type="dxa"/>
            <w:vAlign w:val="bottom"/>
          </w:tcPr>
          <w:p>
            <w:pPr>
              <w:spacing w:after="0"/>
              <w:rPr>
                <w:sz w:val="17"/>
                <w:szCs w:val="17"/>
                <w:color w:val="auto"/>
              </w:rPr>
            </w:pPr>
          </w:p>
        </w:tc>
        <w:tc>
          <w:tcPr>
            <w:tcW w:w="64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Chairman of the Board of the Company</w:t>
            </w:r>
          </w:p>
        </w:tc>
      </w:tr>
      <w:tr>
        <w:trPr>
          <w:trHeight w:val="216"/>
        </w:trPr>
        <w:tc>
          <w:tcPr>
            <w:tcW w:w="33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Allen Andersson </w:t>
            </w:r>
            <w:r>
              <w:rPr>
                <w:rFonts w:ascii="Arial" w:cs="Arial" w:eastAsia="Arial" w:hAnsi="Arial"/>
                <w:sz w:val="22"/>
                <w:szCs w:val="22"/>
                <w:color w:val="auto"/>
                <w:vertAlign w:val="superscript"/>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Chairman, Paperboy Ventures LLC</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Joseph K. Belanoff, M.D.</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 of the Company</w:t>
            </w:r>
          </w:p>
        </w:tc>
      </w:tr>
      <w:tr>
        <w:trPr>
          <w:trHeight w:val="216"/>
        </w:trPr>
        <w:tc>
          <w:tcPr>
            <w:tcW w:w="3320" w:type="dxa"/>
            <w:vAlign w:val="bottom"/>
            <w:gridSpan w:val="2"/>
          </w:tcPr>
          <w:p>
            <w:pPr>
              <w:spacing w:after="0" w:line="217" w:lineRule="exact"/>
              <w:rPr>
                <w:sz w:val="20"/>
                <w:szCs w:val="20"/>
                <w:color w:val="auto"/>
              </w:rPr>
            </w:pPr>
            <w:r>
              <w:rPr>
                <w:rFonts w:ascii="Arial" w:cs="Arial" w:eastAsia="Arial" w:hAnsi="Arial"/>
                <w:sz w:val="18"/>
                <w:szCs w:val="18"/>
                <w:color w:val="auto"/>
              </w:rPr>
              <w:t>G. Leonard Baker, Jr.</w:t>
            </w:r>
            <w:r>
              <w:rPr>
                <w:rFonts w:ascii="Arial" w:cs="Arial" w:eastAsia="Arial" w:hAnsi="Arial"/>
                <w:sz w:val="22"/>
                <w:szCs w:val="22"/>
                <w:color w:val="auto"/>
                <w:vertAlign w:val="superscript"/>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Venture Capitalist</w:t>
            </w:r>
          </w:p>
        </w:tc>
      </w:tr>
      <w:tr>
        <w:trPr>
          <w:trHeight w:val="216"/>
        </w:trPr>
        <w:tc>
          <w:tcPr>
            <w:tcW w:w="3320" w:type="dxa"/>
            <w:vAlign w:val="bottom"/>
            <w:gridSpan w:val="2"/>
          </w:tcPr>
          <w:p>
            <w:pPr>
              <w:spacing w:after="0" w:line="217" w:lineRule="exact"/>
              <w:rPr>
                <w:sz w:val="20"/>
                <w:szCs w:val="20"/>
                <w:color w:val="auto"/>
              </w:rPr>
            </w:pPr>
            <w:r>
              <w:rPr>
                <w:rFonts w:ascii="Arial" w:cs="Arial" w:eastAsia="Arial" w:hAnsi="Arial"/>
                <w:sz w:val="18"/>
                <w:szCs w:val="18"/>
                <w:color w:val="auto"/>
              </w:rPr>
              <w:t>Joseph C. Cook, Jr.</w:t>
            </w:r>
            <w:r>
              <w:rPr>
                <w:rFonts w:ascii="Arial" w:cs="Arial" w:eastAsia="Arial" w:hAnsi="Arial"/>
                <w:sz w:val="22"/>
                <w:szCs w:val="22"/>
                <w:color w:val="auto"/>
                <w:vertAlign w:val="superscript"/>
              </w:rPr>
              <w:t>(1) (3)</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Executive/Investor</w:t>
            </w:r>
          </w:p>
        </w:tc>
      </w:tr>
      <w:tr>
        <w:trPr>
          <w:trHeight w:val="216"/>
        </w:trPr>
        <w:tc>
          <w:tcPr>
            <w:tcW w:w="3320" w:type="dxa"/>
            <w:vAlign w:val="bottom"/>
            <w:gridSpan w:val="2"/>
          </w:tcPr>
          <w:p>
            <w:pPr>
              <w:spacing w:after="0" w:line="217" w:lineRule="exact"/>
              <w:rPr>
                <w:sz w:val="20"/>
                <w:szCs w:val="20"/>
                <w:color w:val="auto"/>
              </w:rPr>
            </w:pPr>
            <w:r>
              <w:rPr>
                <w:rFonts w:ascii="Arial" w:cs="Arial" w:eastAsia="Arial" w:hAnsi="Arial"/>
                <w:sz w:val="18"/>
                <w:szCs w:val="18"/>
                <w:color w:val="auto"/>
              </w:rPr>
              <w:t>Patrick G. Enright</w:t>
            </w:r>
            <w:r>
              <w:rPr>
                <w:rFonts w:ascii="Arial" w:cs="Arial" w:eastAsia="Arial" w:hAnsi="Arial"/>
                <w:sz w:val="22"/>
                <w:szCs w:val="22"/>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Venture Capitalist</w:t>
            </w:r>
          </w:p>
        </w:tc>
      </w:tr>
      <w:tr>
        <w:trPr>
          <w:trHeight w:val="216"/>
        </w:trPr>
        <w:tc>
          <w:tcPr>
            <w:tcW w:w="3320" w:type="dxa"/>
            <w:vAlign w:val="bottom"/>
            <w:gridSpan w:val="2"/>
          </w:tcPr>
          <w:p>
            <w:pPr>
              <w:spacing w:after="0" w:line="217" w:lineRule="exact"/>
              <w:rPr>
                <w:sz w:val="20"/>
                <w:szCs w:val="20"/>
                <w:color w:val="auto"/>
              </w:rPr>
            </w:pPr>
            <w:r>
              <w:rPr>
                <w:rFonts w:ascii="Arial" w:cs="Arial" w:eastAsia="Arial" w:hAnsi="Arial"/>
                <w:sz w:val="18"/>
                <w:szCs w:val="18"/>
                <w:color w:val="auto"/>
              </w:rPr>
              <w:t>James A. Harper</w:t>
            </w:r>
            <w:r>
              <w:rPr>
                <w:rFonts w:ascii="Arial" w:cs="Arial" w:eastAsia="Arial" w:hAnsi="Arial"/>
                <w:sz w:val="22"/>
                <w:szCs w:val="22"/>
                <w:color w:val="auto"/>
                <w:vertAlign w:val="superscript"/>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Retired Pharmaceutical Executive</w:t>
            </w:r>
          </w:p>
        </w:tc>
      </w:tr>
      <w:tr>
        <w:trPr>
          <w:trHeight w:val="216"/>
        </w:trPr>
        <w:tc>
          <w:tcPr>
            <w:tcW w:w="3320" w:type="dxa"/>
            <w:vAlign w:val="bottom"/>
            <w:gridSpan w:val="2"/>
          </w:tcPr>
          <w:p>
            <w:pPr>
              <w:spacing w:after="0" w:line="217" w:lineRule="exact"/>
              <w:rPr>
                <w:sz w:val="20"/>
                <w:szCs w:val="20"/>
                <w:color w:val="auto"/>
              </w:rPr>
            </w:pPr>
            <w:r>
              <w:rPr>
                <w:rFonts w:ascii="Arial" w:cs="Arial" w:eastAsia="Arial" w:hAnsi="Arial"/>
                <w:sz w:val="18"/>
                <w:szCs w:val="18"/>
                <w:color w:val="auto"/>
              </w:rPr>
              <w:t>David L. Mahoney</w:t>
            </w:r>
            <w:r>
              <w:rPr>
                <w:rFonts w:ascii="Arial" w:cs="Arial" w:eastAsia="Arial" w:hAnsi="Arial"/>
                <w:sz w:val="22"/>
                <w:szCs w:val="22"/>
                <w:color w:val="auto"/>
                <w:vertAlign w:val="superscript"/>
              </w:rPr>
              <w:t>(1)(2)</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Private Equity Investor</w:t>
            </w:r>
          </w:p>
        </w:tc>
      </w:tr>
      <w:tr>
        <w:trPr>
          <w:trHeight w:val="222"/>
        </w:trPr>
        <w:tc>
          <w:tcPr>
            <w:tcW w:w="3320" w:type="dxa"/>
            <w:vAlign w:val="bottom"/>
            <w:gridSpan w:val="2"/>
          </w:tcPr>
          <w:p>
            <w:pPr>
              <w:spacing w:after="0"/>
              <w:rPr>
                <w:sz w:val="20"/>
                <w:szCs w:val="20"/>
                <w:color w:val="auto"/>
              </w:rPr>
            </w:pPr>
            <w:r>
              <w:rPr>
                <w:rFonts w:ascii="Arial" w:cs="Arial" w:eastAsia="Arial" w:hAnsi="Arial"/>
                <w:sz w:val="18"/>
                <w:szCs w:val="18"/>
                <w:color w:val="auto"/>
              </w:rPr>
              <w:t>Edward E. Penhoet, Ph. D.</w:t>
            </w: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Venture Capitalist</w:t>
            </w:r>
          </w:p>
        </w:tc>
      </w:tr>
    </w:tbl>
    <w:p>
      <w:pPr>
        <w:spacing w:after="0" w:line="7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audit committee</w:t>
      </w:r>
    </w:p>
    <w:p>
      <w:pPr>
        <w:ind w:left="340" w:hanging="332"/>
        <w:spacing w:after="0" w:line="22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nominating and corporate governance committee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directors are elected at each annual meeting of stockholders, or special meeting in lieu thereof. The directors serve for a one-year term until the next annual meeting of stockholders and until their successors are elected and qualified.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James N. Wilson </w:t>
      </w:r>
      <w:r>
        <w:rPr>
          <w:rFonts w:ascii="Arial" w:cs="Arial" w:eastAsia="Arial" w:hAnsi="Arial"/>
          <w:sz w:val="18"/>
          <w:szCs w:val="18"/>
          <w:color w:val="auto"/>
        </w:rPr>
        <w:t>has served as a director and as Chairman of the Board since 1999. In addition, since 2005, Mr. Wilson has been the Chairman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NuGEN Technologies, Inc. Since 2002, he has served as a director of Amylin Pharmaceuticals, Inc. From 1996 to 2001, Mr. Wilson was Chairman of the Board of Amira Medical, Inc. From 1991 to 1994, he was Chief Operating Officer of Syntex Corporation. From 1989 to 1990, Mr. Wilson was Chairman and Chief Executive Officer of Neurex Corporation and from 1982 to 1988, Mr. Wilson was Chief Executive Officer of LifeScan, Inc. Mr. Wilson received his B.A. and M.B.A. from the University of Arizona.</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Allen Andersson </w:t>
      </w:r>
      <w:r>
        <w:rPr>
          <w:rFonts w:ascii="Arial" w:cs="Arial" w:eastAsia="Arial" w:hAnsi="Arial"/>
          <w:sz w:val="16"/>
          <w:szCs w:val="16"/>
          <w:color w:val="auto"/>
        </w:rPr>
        <w:t>has served as a member of the Board of Directors since 2006. He is the founder of Paperboy Ventures LLC, a merchant bank</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commercializing undervalued science, and has served as its chairman since 2002. A software designer and entrepreneur for over twenty years, he was a founder of LightSpeed International, a developer of voice-over-Internet systems in 1995, Expert Image Systems, a developer of medical diagnostic technology in 1986 and Interleaf, an early word processing developer in 1981. Mr. Andersson held the position of Vice President of Advanced Technologies at Logos Corporation. He is also President of The Riecken Foundation, which creates public libraries and promotes prosperity and democracy in Central America. Mr. Andersson received his S.B. in mathematics from the Massachusetts Institute of Technology and served in the Peace Corps in Honduras.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Joseph K. Belanoff, M.D. </w:t>
      </w:r>
      <w:r>
        <w:rPr>
          <w:rFonts w:ascii="Arial" w:cs="Arial" w:eastAsia="Arial" w:hAnsi="Arial"/>
          <w:sz w:val="16"/>
          <w:szCs w:val="16"/>
          <w:color w:val="auto"/>
        </w:rPr>
        <w:t>is a co-founder of the Company and has served as a member of the Board of Directors and as the Company’s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1999. Dr. Belanoff is currently a clinical faculty member and has held various positions in the Department of Psychiatry and Behavioral Sciences at Stanford University since 1992. From 1997 to 2001, he served as the Director of Psychopharmacology at the outpatient division of the Palo Alto Veterans Affairs Hospital. Dr. Belanoff received his B.A. from Amherst College and his M.D. from Columbia University’s College of Physicians &amp; Surgeons.</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G. Leonard Baker, Jr. </w:t>
      </w:r>
      <w:r>
        <w:rPr>
          <w:rFonts w:ascii="Arial" w:cs="Arial" w:eastAsia="Arial" w:hAnsi="Arial"/>
          <w:sz w:val="18"/>
          <w:szCs w:val="18"/>
          <w:color w:val="auto"/>
        </w:rPr>
        <w:t>has served as a member of the Board of Directors since 1999. Since 1973, Mr. Baker has been a Managing Director of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Sutter Hill Ventures, a venture capital firm. Mr. Baker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currently serves on the boards of a number of private companies. Mr. Baker received his B.A. from Yale University and his M.B.A. from Stanford University.</w:t>
      </w:r>
    </w:p>
    <w:p>
      <w:pPr>
        <w:spacing w:after="0" w:line="19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Joseph C. Cook, Jr. </w:t>
      </w:r>
      <w:r>
        <w:rPr>
          <w:rFonts w:ascii="Arial" w:cs="Arial" w:eastAsia="Arial" w:hAnsi="Arial"/>
          <w:sz w:val="18"/>
          <w:szCs w:val="18"/>
          <w:color w:val="auto"/>
        </w:rPr>
        <w:t>has served as a member of the Board of Directors since 2002. Mr. Cook is Chairman of the Board of Amylin Pharmaceuticals, Inc.</w:t>
      </w:r>
      <w:r>
        <w:rPr>
          <w:rFonts w:ascii="Arial" w:cs="Arial" w:eastAsia="Arial" w:hAnsi="Arial"/>
          <w:sz w:val="18"/>
          <w:szCs w:val="18"/>
          <w:i w:val="1"/>
          <w:iCs w:val="1"/>
          <w:color w:val="auto"/>
        </w:rPr>
        <w:t xml:space="preserve"> </w:t>
      </w:r>
      <w:r>
        <w:rPr>
          <w:rFonts w:ascii="Arial" w:cs="Arial" w:eastAsia="Arial" w:hAnsi="Arial"/>
          <w:sz w:val="18"/>
          <w:szCs w:val="18"/>
          <w:color w:val="auto"/>
        </w:rPr>
        <w:t>Mr. Cook served as Chief Executive Officer of Amylin Pharmaceuticals from 1998 to 2003. Mr. Cook is a founder and currently serves as Chairman of the Board of Ironwood Pharmaceuticals, Inc. Mr. Cook is an officer of Mountain Ventures, Inc. and a founder of Clinical Products, Inc. and Mountain Group Capital, LLC. Mr. Cook also serves as a director of Mercy Ministries International and as a member and past Chairman of the University of Tennessee College of Engineering Advisory Board. Mr. Cook retired as Group Vice President of Eli Lilly &amp; Company in 1993 after more than 28 years of service. Mr. Cook received his B.S. from the University of Tennessee.</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 xml:space="preserve">Patrick G. Enright </w:t>
      </w:r>
      <w:r>
        <w:rPr>
          <w:rFonts w:ascii="Arial" w:cs="Arial" w:eastAsia="Arial" w:hAnsi="Arial"/>
          <w:sz w:val="16"/>
          <w:szCs w:val="16"/>
          <w:color w:val="auto"/>
        </w:rPr>
        <w:t>has served as a member of the Board of Directors since April 2008. He is a founder of Longitude Capital Management Co., LLP, a</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capital firm focused on investments in biotechnology and has served as its Managing Director since 2006. From 2002 through 2006, Mr. Enright was a Managing Director of Pequot Ventures where he co-led the life sciences investment practice. Prior to Pequot, he was a Managing Member responsible for the Delta Opportunity Fund, where he invested in privately-held and publicly-traded biotechnology companies, such as SUGEN, Inc. and Cephalon, Inc. Mr. Enright began his investment career at PaineWebber Development Corporation, a direct investment group focused primarily on biotechnology companies. Mr. Enright also has significant life sciences operations experience. He was CFO and Senior Vice President Business Development of Valentis, Inc. (now Urigen Pharmaceuticals, Inc.) and Senior Vice President Finance and Business Development of Boehringer Mannheim Pharmaceuticals (now Hoffmann-La Roche). Mr. Enright began his life sciences career 23 years ago at Sandoz (now Novartis). He currently serves on the boards of Corcept and a number of privately-held companies. Mr. Enright holds an M.B.A. from the Wharton School of Business at the University of Pennsylvania and a B.S. in Biological Sciences from Stanford University.</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James A. Harper </w:t>
      </w:r>
      <w:r>
        <w:rPr>
          <w:rFonts w:ascii="Arial" w:cs="Arial" w:eastAsia="Arial" w:hAnsi="Arial"/>
          <w:sz w:val="16"/>
          <w:szCs w:val="16"/>
          <w:color w:val="auto"/>
        </w:rPr>
        <w:t>has served as a member of the Board of Directors since October 2004. He has spent over 30 years in the pharmaceutical and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all in positions with Eli Lilly and Company, from which he retired in 2004. Mr. Harper served as Group Vice President and Chief Marketing Officer from 2001 to 2004 and as President, Diabetes and Growth Disorders Business Unit / Product Group from 1994 to 2001. He was a Vice President, Global Pharmaceutical Marketing, from 1993 to 1994 and was President and CEO, Advanced Cardiovascular Systems, Inc. from 1991 to 1993. Mr. Harper also serves on the Board of Directors of Zymogenetics, Inc. and the Board of Directors of Phenomix Corporation, both of which are biotechnology companies. He is also an advisor for Nomura Phase4 Ventures. Mr. Harper received his B.A. from Vanderbilt University and his M.B.A. from The Wharton School of Business.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David L. Mahoney </w:t>
      </w:r>
      <w:r>
        <w:rPr>
          <w:rFonts w:ascii="Arial" w:cs="Arial" w:eastAsia="Arial" w:hAnsi="Arial"/>
          <w:sz w:val="18"/>
          <w:szCs w:val="18"/>
          <w:color w:val="auto"/>
        </w:rPr>
        <w:t>has served as a member of the Board of Directors since July 2004. From 1999 to 2001, Mr. Mahoney served as co-CEO of McKesson</w:t>
      </w:r>
      <w:r>
        <w:rPr>
          <w:rFonts w:ascii="Arial" w:cs="Arial" w:eastAsia="Arial" w:hAnsi="Arial"/>
          <w:sz w:val="18"/>
          <w:szCs w:val="18"/>
          <w:i w:val="1"/>
          <w:iCs w:val="1"/>
          <w:color w:val="auto"/>
        </w:rPr>
        <w:t xml:space="preserve"> </w:t>
      </w:r>
      <w:r>
        <w:rPr>
          <w:rFonts w:ascii="Arial" w:cs="Arial" w:eastAsia="Arial" w:hAnsi="Arial"/>
          <w:sz w:val="18"/>
          <w:szCs w:val="18"/>
          <w:color w:val="auto"/>
        </w:rPr>
        <w:t>HBOC, Inc., a healthcare supply management and information technology company and as CEO of iMcKesson LLC, a healthcare management and connectivity company. He joined McKesson Corporation in 1990 as Vice President for Strategic Planning. Prior to joining McKesson, Mr. Mahoney was a principal with McKinsey &amp; Company where he worked from 1981 to 1990. He also serves on the Board of Directors of Symantec Corporation, Live Oak School, San Francisco Museum of Modern Art, Mercy Corps and NCPB, Inc., a public television and radio operator. Mr. Mahoney received his B.A. from Princeton University and his M.B.A. from Harvard University.</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Edward E. Penhoet </w:t>
      </w:r>
      <w:r>
        <w:rPr>
          <w:rFonts w:ascii="Arial" w:cs="Arial" w:eastAsia="Arial" w:hAnsi="Arial"/>
          <w:sz w:val="16"/>
          <w:szCs w:val="16"/>
          <w:color w:val="auto"/>
        </w:rPr>
        <w:t>has served as a member of the Board of Directors since June 2008. He has served as a Director of Alta Partners, LLP, a venture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firm, since 2000. He is a member of the Boards of Directors of ChemoCentryx, Chimerix, Renovis, Scynexis, and ZymoGenetics, and serves as the Chairman of the Board for Metabolex. A co-founder of Chiron, he served as the company’s President and Chief Executive Officer from its formation in 1981 until April 1998. Dr. Penhoet is the Vice Chair of the Independent Citizens Oversight Committee for the California Institute of Regenerative Medicine (CIRM), and recently served as the as President of the Gordon and Betty Moore Foundation. For 10 years prior to founding Chiron, he was a faculty member of the Biochemistry Department of the University of California, Berkeley. Dr. Penhoet is the immediate past Dean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of the School of Public Health at the University of California, Berkeley. He is a member of the Institute of Medicine of the National Academy of Sciences and has co-authored more than 50 scientific articles and papers.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December 31, 2008, information about our executive officers: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2"/>
              </w:rPr>
              <w:t>Age</w:t>
            </w:r>
          </w:p>
        </w:tc>
        <w:tc>
          <w:tcPr>
            <w:tcW w:w="4180" w:type="dxa"/>
            <w:vAlign w:val="bottom"/>
            <w:gridSpan w:val="3"/>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203"/>
        </w:trPr>
        <w:tc>
          <w:tcPr>
            <w:tcW w:w="4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75"/>
              </w:rPr>
              <w:t>Joseph</w:t>
            </w:r>
          </w:p>
        </w:tc>
        <w:tc>
          <w:tcPr>
            <w:tcW w:w="4840" w:type="dxa"/>
            <w:vAlign w:val="bottom"/>
          </w:tcPr>
          <w:p>
            <w:pPr>
              <w:ind w:left="60"/>
              <w:spacing w:after="0" w:line="203" w:lineRule="exact"/>
              <w:rPr>
                <w:sz w:val="20"/>
                <w:szCs w:val="20"/>
                <w:color w:val="auto"/>
              </w:rPr>
            </w:pPr>
            <w:r>
              <w:rPr>
                <w:rFonts w:ascii="Arial" w:cs="Arial" w:eastAsia="Arial" w:hAnsi="Arial"/>
                <w:sz w:val="18"/>
                <w:szCs w:val="18"/>
                <w:color w:val="auto"/>
              </w:rPr>
              <w:t>K. Belanoff, M.D.</w:t>
            </w:r>
          </w:p>
        </w:tc>
        <w:tc>
          <w:tcPr>
            <w:tcW w:w="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Chief</w:t>
            </w:r>
          </w:p>
        </w:tc>
        <w:tc>
          <w:tcPr>
            <w:tcW w:w="3360" w:type="dxa"/>
            <w:vAlign w:val="bottom"/>
          </w:tcPr>
          <w:p>
            <w:pPr>
              <w:spacing w:after="0" w:line="203"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Robert L. Roe, M.D.</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4180" w:type="dxa"/>
            <w:vAlign w:val="bottom"/>
            <w:gridSpan w:val="3"/>
          </w:tcPr>
          <w:p>
            <w:pPr>
              <w:ind w:left="220"/>
              <w:spacing w:after="0"/>
              <w:rPr>
                <w:sz w:val="20"/>
                <w:szCs w:val="20"/>
                <w:color w:val="auto"/>
              </w:rPr>
            </w:pPr>
            <w:r>
              <w:rPr>
                <w:rFonts w:ascii="Arial" w:cs="Arial" w:eastAsia="Arial" w:hAnsi="Arial"/>
                <w:sz w:val="18"/>
                <w:szCs w:val="18"/>
                <w:color w:val="auto"/>
              </w:rPr>
              <w:t>President and Secretary</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Caroline M. Loewy</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41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222"/>
        </w:trPr>
        <w:tc>
          <w:tcPr>
            <w:tcW w:w="5300" w:type="dxa"/>
            <w:vAlign w:val="bottom"/>
            <w:gridSpan w:val="2"/>
          </w:tcPr>
          <w:p>
            <w:pPr>
              <w:spacing w:after="0"/>
              <w:rPr>
                <w:sz w:val="20"/>
                <w:szCs w:val="20"/>
                <w:color w:val="auto"/>
              </w:rPr>
            </w:pPr>
            <w:r>
              <w:rPr>
                <w:rFonts w:ascii="Arial" w:cs="Arial" w:eastAsia="Arial" w:hAnsi="Arial"/>
                <w:sz w:val="18"/>
                <w:szCs w:val="18"/>
                <w:color w:val="auto"/>
              </w:rPr>
              <w:t>Anne M. LeDoux</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4180" w:type="dxa"/>
            <w:vAlign w:val="bottom"/>
            <w:gridSpan w:val="3"/>
          </w:tcPr>
          <w:p>
            <w:pPr>
              <w:ind w:left="220"/>
              <w:spacing w:after="0"/>
              <w:rPr>
                <w:sz w:val="20"/>
                <w:szCs w:val="20"/>
                <w:color w:val="auto"/>
              </w:rPr>
            </w:pPr>
            <w:r>
              <w:rPr>
                <w:rFonts w:ascii="Arial" w:cs="Arial" w:eastAsia="Arial" w:hAnsi="Arial"/>
                <w:sz w:val="18"/>
                <w:szCs w:val="18"/>
                <w:color w:val="auto"/>
                <w:w w:val="89"/>
              </w:rPr>
              <w:t>Vice President, Controller and Chief Accounting Officer</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Joseph K. Belanoff, M.D.’s </w:t>
      </w:r>
      <w:r>
        <w:rPr>
          <w:rFonts w:ascii="Arial" w:cs="Arial" w:eastAsia="Arial" w:hAnsi="Arial"/>
          <w:sz w:val="18"/>
          <w:szCs w:val="18"/>
          <w:color w:val="auto"/>
        </w:rPr>
        <w:t>background is discussed above.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Robert L. Roe, M.D. </w:t>
      </w:r>
      <w:r>
        <w:rPr>
          <w:rFonts w:ascii="Arial" w:cs="Arial" w:eastAsia="Arial" w:hAnsi="Arial"/>
          <w:sz w:val="16"/>
          <w:szCs w:val="16"/>
          <w:color w:val="auto"/>
        </w:rPr>
        <w:t>joined us as President in October 2001. Dr. Roe has spent more than 30 years in the pharmaceutical and biotechnology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1999 to 2001, he served as President and Chief Executive Officer of Allergenics, Inc. From 1996 to 1999, he was Executive Vice President, Chief Operating Officer and a director of Cytel Corporation. From 1995 to 1996, he was Executive Vice President, Chief Operating Officer and a director of Chugai Biopharmaceuticals, Inc. From 1992 to 1995, Dr. Roe served as President of the Development Research Division and Senior Vice President of Syntex Corporation. Dr. Roe received his B.A. from Stanford University and his M.D. from the University of California, San Francisco.</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Caroline M. Loewy </w:t>
      </w:r>
      <w:r>
        <w:rPr>
          <w:rFonts w:ascii="Arial" w:cs="Arial" w:eastAsia="Arial" w:hAnsi="Arial"/>
          <w:sz w:val="16"/>
          <w:szCs w:val="16"/>
          <w:color w:val="auto"/>
        </w:rPr>
        <w:t>joined us as Chief Financial Officer in November 2008. From 2006-2008, Ms. Loewy served as Chief Financial Officer of Poniard</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a publicly traded biopharmaceutical company. From 2004-2006 she acted as an independent consultant to a variety of biopharmaceutical companies advising on corporate strategy, business development, and financing. Ms. Loewy spent 14 years in equity research and corporate finance. From 2000-2004 she was an Executive Director in biotechnology equity research at Morgan Stanley, providing fundamental analysis and recommendations to investors, as well as strategic advisory services to corporate clients. She was also a Managing Director in biotechnology equity research at Prudential Securities and held positions in corporate finance at BankAmerica. Ms. Loewy holds a BA degree from the University of California, Berkeley, and an MBA/MS degree from Carnegie Mellon University.</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Anne M. LeDoux </w:t>
      </w:r>
      <w:r>
        <w:rPr>
          <w:rFonts w:ascii="Arial" w:cs="Arial" w:eastAsia="Arial" w:hAnsi="Arial"/>
          <w:sz w:val="16"/>
          <w:szCs w:val="16"/>
          <w:color w:val="auto"/>
        </w:rPr>
        <w:t>joined the company as Controller in 2004 and was promoted to the position of Vice President, Controller and Chief Accounting Officer 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2007. Ms. LeDoux has over 15 years of financial and accounting management experience with public pharmaceutical and biotechnology companies. Prior to joining Corcept in 2004, Ms. LeDoux served in various financial positions at Aviron, Roche Biosciences and Syntex Corporation. She was also Vice President and Chief Financial Officer at the Northern California Health Center and Vice President, Finance for the Children’s Hospital of San Francisco. Ms. LeDoux is a Certified Public Accountant and has over 13 years of experience in public accounting, primarily at Coopers and Lybrand. Ms. LeDoux received her Bachelor of Arts degree in Business from the University of Massachusetts and a law degree from Western New England College, School of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Board met eight times during 2008; four of them telephonically, and took action via unanimous written consent once. The Audit Committee met five times and the Compensation Committee met twice. The Nominating and Corporate Governance Committee met once during 2008. Each member of the Board attended 75% or more of the total number of Board meetings and meetings of Board committees on which such Board member served.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has standing Audit, Compensation and Nominating and Corporate Governance Committees as described below.</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currently consists of David L. Mahoney (chairman), Joseph C. Cook, Jr. and Patrick G. Enright. David B. Singer</w:t>
      </w:r>
      <w:r>
        <w:rPr>
          <w:rFonts w:ascii="Arial" w:cs="Arial" w:eastAsia="Arial" w:hAnsi="Arial"/>
          <w:sz w:val="16"/>
          <w:szCs w:val="16"/>
          <w:i w:val="1"/>
          <w:iCs w:val="1"/>
          <w:color w:val="auto"/>
        </w:rPr>
        <w:t xml:space="preserve"> </w:t>
      </w:r>
      <w:r>
        <w:rPr>
          <w:rFonts w:ascii="Arial" w:cs="Arial" w:eastAsia="Arial" w:hAnsi="Arial"/>
          <w:sz w:val="16"/>
          <w:szCs w:val="16"/>
          <w:color w:val="auto"/>
        </w:rPr>
        <w:t>was also a member of this committee until his term as a director was concluded at the Annual Meeting on June 10, 2008. The Board has determined that all members of the Audit Committee are independent directors under the rules of the Nasdaq Capital Market and each of them is able to read and understand fundamental financial statements. In addition, the Board has determined that each member of the Audit Committee also satisfies the independence requirements of Rule 10A-3(b)(1) of the Exchange Act. The Board has determined that David L. Mahoney qualifies as an “Audit Committee financial expert” as defined by Item 407(d)(5) of Regulation S-K of the Securities Act of 1933, as amended and the Securities Exchange Act of 1934, as amended. The purpose of the Audit Committee is to oversee the accounting and financial reporting processes and financial statements audits. The responsibilities of the Audit Committee include appointing and providing the compensation of the independent accountants to conduct the annual audit of our accounts, reviewing the scope and results of the independent audits, reviewing and evaluating internal accounting policies, and approving all professional services to be provided to us by our independent auditors.</w:t>
      </w:r>
    </w:p>
    <w:p>
      <w:pPr>
        <w:spacing w:after="0" w:line="12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currently consists of G. Leonard Baker, Jr. (chairman), James A. Harper, David L. Mahoney</w:t>
      </w:r>
      <w:r>
        <w:rPr>
          <w:rFonts w:ascii="Arial" w:cs="Arial" w:eastAsia="Arial" w:hAnsi="Arial"/>
          <w:sz w:val="16"/>
          <w:szCs w:val="16"/>
          <w:i w:val="1"/>
          <w:iCs w:val="1"/>
          <w:color w:val="auto"/>
        </w:rPr>
        <w:t xml:space="preserve"> </w:t>
      </w:r>
      <w:r>
        <w:rPr>
          <w:rFonts w:ascii="Arial" w:cs="Arial" w:eastAsia="Arial" w:hAnsi="Arial"/>
          <w:sz w:val="16"/>
          <w:szCs w:val="16"/>
          <w:color w:val="auto"/>
        </w:rPr>
        <w:t>and Allen Andersson. Alix Marduel, M.D. was also a member of this committee until her term as a director was concluded at the Annual Meeting on June 10, 2008. The Board has determined that all members of the Compensation Committee are independent directors under the rules of the Nasdaq Capital Market. The Compensation Committee administers our benefit plans, reviews and administers all compensation arrangements for executive officers, and establishes and reviews general policies relating to the compensation and benefits of our officers and employees.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consists of Joseph C. Cook, Jr.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and James N. Wilson. Alix Marduel, M.D. was also a member of this committee until her term as a director was concluded at the Annual Meeting on June 10, 2008. The Nominating and Governance Committee is responsible for identifying individuals qualified to serve as members of the Board, recommending to the independent members of the Board nominees for election as our directors and providing oversight with respect to corporate governance and ethical conduct. Although Mr. Wilson is our employee and therefore not an “independent director” for NASDAQ purposes, our director nomination process meets applicable NASDAQ requirements because our director nominees are selected by the independent members of the Board.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Stockholders or other interested parties may communicate with any director or committee of the Board by writing to them c/o Secretary, Corcept Therapeutics, 149 Commonwealth Drive, Menlo Park, California 94025. Comments or questions regarding our accounting, internal controls or auditing matters will be referred to members of the Audit Committee. Comments or questions regarding the nomination of directors and other corporate governance matters will be referred to members of the Nominating and Governance Committee.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encourages our directors to attend the annual stockholder meetings. Three of our directors attended the 2008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has adopted a code of ethics that applies to all officers and employees, including its principal executive officer, principal financial officer and controller. This code of ethics has been filed as Exhibit 14.1 to the Company’s Registration Statement on From Form S-1/A (Registration No. 333-112676) filed with the SEC on March 19, 2004. The Company will also deliver a copy of its code of ethics to any stockholder, without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charge, upon written request to Corcept Therapeutics, 149 Commonwealth Drive, Menlo Park, California 94025, Attention: Secretary, or upon oral request by calling (650) 327-3270.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Section 16(a) of the Exchange Act and SEC rules, our directors, executive officers and beneficial owners of more than 10% of any class of equity security are required to file periodic reports of their ownership, and changes in that ownership, with the SEC. Based solely on our review of copies of these reports and representations of such reporting persons, we believe that during 2008, such SEC filing requirements were satisfied, with the exception that the option granted to Allen Andersson on June 10, 2008 was reported on a Form 4 filed on February 10, 2009. This transaction should have been reported on Form 4 within 2 business days after the date of grant.</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Joseph K. Belanoff, M.D., our Chief Executive Officer, Robert L. Roe, M.D., our President, Caroline M. Loewy, our Chief Financial Officer, and Anne LeDoux, our Vice President and Controller (Chief Accounting Officer), our named executive officers (“NEOs”) compensation is intended to be performance-based, with the exception of such NEOs’ base salary. The Compensation Committee believes that compensation paid to NEOs should be closely aligned with our performance on both a short-term and long-term basis, linked to specific, measurable results intended to create value for stockholders, and that such compensation should assist us in attracting and retaining key executives critical to our long-term success.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establishing compensation for executive officers, the following are the Compensation Committee’s objectives:</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Attract and retain individuals of superior managerial talent;</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Ensure senior officer compensation is aligned with the Company’s corporate strategies, business objectives and the long-term interests of the Company’s stockholders;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the incentive to achieve key strategic and financial performance measures by linking incentive award opportunities to the achievement of performance goals in these areas;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Align officer and shareholder interests, as well as promote retention of key people, by providing a portion of total compensation opportunities for senior management in the form of direct ownership in the Company through stock options.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overall compensation program is structured to attract, motivate and retain highly qualified executive officers by paying them competitively, consistent with the Company’s success and their contribution to that success. We believe compensation should be structured to ensure that a portion of compensation opportunity will be directly related to Company stock performance and other factors that directly and indirectly influence stockholder value. Accordingly, we set goals designed to link each NEO’s compensation to our performance, such as the attainment of clinical goals and meeting agreed upon financial targets.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provide a base salary to our executive officers. Additionally, consistent with our performance-based philosophy, we reserve the largest potential compensation awards for performance- and incentive-based programs for our senior executive management team, comprised of the Chief Executive Officer, President, Chief Financial Officer and Chief Accounting Officer. Such programs include stock options grants, designed to provide compensation opportunities if milestones that increase our value, such as positive results in clinical trials, are attained. Incentive-based programs provide compensation in the form of both cash and equity, to reward for both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short-term and long-term performance. The Compensation Committee allocates total compensation between cash and equity compensation based on the Compensation Committee members’ knowledge of compensation practices in the biotechnology and specialty pharmaceutical industries. The balance between equity and cash compensation among members of the senior executive management team, all four of whom are NEOs, is evaluated annually to align the interests of management with stockholders through both short and long term incentives.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Chairman of the Board and the members of the Compensation Committee are seasoned executives of, consultants to or venture capitalists with investments in the biotechnology and specialty pharmaceutical industry. Collectively they have served as board and compensation committee members of many public and privately held companies including Amylin Pharmaceuticals, Inc., NuGen Technologies, Inc., Neurex Corporation, Praecis Pharmaceuticals, Inc., Tercica, Inc., and Zymogenetics Inc. As a result of this extensive involvement in the compensation of executives in these and other companies, the Chairman of the Board and the members of the Compensation Committee collectively have developed a clear understanding and knowledge of the compensation structures that are necessary to attract, motivate and retain management talent.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Compensation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is provided with the primary authority to determine and recommend the compensation awards available to our executive officers for approval by the Board of Directors. Based on the Compensation Committee members’ collective understanding of compensation practices in similar companies in the biotechnology and specialty pharmaceutical industry, our executive compensation package consists of the following elements, in addition to the employee benefit plans in which all employees may participate:</w:t>
      </w:r>
    </w:p>
    <w:p>
      <w:pPr>
        <w:spacing w:after="0" w:line="6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 salary: compensation for ongoing performance throughout the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Periodic performance-based cash compensation: awards to recognize and reward achievement of performance goals.</w:t>
      </w:r>
    </w:p>
    <w:p>
      <w:pPr>
        <w:spacing w:after="0" w:line="9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Long-term performance-based equity incentive program: equity compensation to provide an incentive to the NEOs to manage us from the perspective of an owner with an equity stock in the business.</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Severance and change of control benefits: remuneration paid to executives in the event of a change of control or involuntary employment termination.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aid the Compensation Committee in making its determination, our Chief Executive Officer provides recommendations annually to the Compensation Committee regarding the compensation of all other executive officers. Each NEO in turn, participates in an annual performance review with our Chief Executive Officer to provide input about their individual contributions to our success for the period being assessed. The overall performance of our senior executive management team is reviewed annually by the Compensation Committee.</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set base salary structures and any grants of stock options based on the Compensation Committee members’ collective understanding of compensation practices in the biotechnology and specialty pharmaceutical industry and such members’ experiences as seasoned executives, consultants, board and compensation committee members, or investors in similar biotechnology and specialty pharmaceutical industry companies.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Considerations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goal of the Compensation Committee is to comply with the requirements of Internal Revenue Code Section 162(m) of the Internal Revenue Code of 1986, as amended, which limits the tax deductibility by us of annual compensation in excess of $1,000,000 paid to our Chief Executive Officer and any of our three other most highly compensated executive officers, other than our Chief Financial Officer. However, performance-based compensation that has been approved by our stockholders is excluded from the $1,000,000 limit if, among other requirements, the compensation is payable only upon the attainment of pre-established, objective performance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goals and the committee of our Board of Directors that establishes such goals consist only of “outside directors.” All members of the Compensation Committee qualify as outside directors.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While the tax impact of any compensation arrangement is one factor to be considered, such impact is evaluated in light of the Compensation Committee’s overall compensation philosophy and objectives. The Compensation Committee will consider ways to maximize the deductibility of executive compensation, while retaining the discretion it deems necessary to compensate officers in a manner commensurate with performance and the competitive environment for executive talent. From time to time, the Compensation Committee may award compensation to our executive officers which is not fully deductible if it determines that such award is consistent with its philosophy and is in our and our stockholders’ best interests.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option grants made under our equity plans are intended to be structured so that any compensation deemed paid upon the exercise of those options is intended to qualify as performance-based compensation that is not subject to the $1,000,000 limitation.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Base Compensation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pay base salaries to provide fixed compensation based on the Compensation Committee’s assessment of competitive market practices. Due to the Compensation Committee’s collective experience with similar companies in the biotechnology and specialty pharmaceutical industry, the Compensation Committee has intricate knowledge and understanding of what the industry demands in order to motivate and retain our executive officers. We provide each NEO with a base salary that was established by extensive negotiations with each NEO when such individual first joined us as an employee or was promoted to the position of executive officer. Base salaries have not changed in 2008 as compared to 2007 other than for annual cost of living adjustments of 4% per year that were approved by the Compensation Committee and applied equally to all employees. While base salaries are not considered by the Internal Revenue Service to constitute performance-based compensation, each year the Compensation Committee reviews the CEO’s base salary to determine if a change is appropriate based on Company performance, such as our progress on research and development programs. Similarly, the CEO reviews the base salary of the other NEOs and has the ability to propose a change in base salary based on performance to the Compensation Committee. Other than the annual cost of living increases that the Compensation Committee has approved, no formulaic base salary increases are provided to the NEOs.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Performance-Based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Goals and Periodic Performance-Based Cash Compensation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structure our compensation programs to reward executive officers based on the Company’s performance. This allows executive officers to receive bonus compensation in the event certain specified corporate performance measures are achieved. To date, we have not instituted an annual performance-based cash compensation or annual performance-based equity compensation program because the Compensation Committee believes that the compensation objective to ensure that executive officers’ compensation is aligned with our corporate strategies, business objectives and the long-term interests of our stockholders is achieved when milestone successes are met, such as meeting the predetermined endpoints in our clinical trials. The achievement of these milestones does not necessarily correspond with annual performance periods.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Performance-based cash compensation has been awarded in past years primarily to recognize the attainment of certain accomplishments of value enhancing milestones such as successful financing transactions and positive results in clinical trials. The Compensation Committee believes that performance-based compensation should be based on achievement of certain milestone successes, such as the attainment of predetermined end-points in our clinical trials, successful financing transactions and commencement of certain clinical trials.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December of 2008, the Compensation Committee and Board of Directors approved a bonus for Anne LeDoux, Vice President and Controller and Chief Accounting Officer, in recognition of additional services performed and duties assumed during the vacancy in the position of Chief Financial Officer equal to 10% of Ms. LeDoux’s base compensation paid in 2008, which bonus was paid in January 2009. No bonuses were paid to the other NEOs.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Performance-Based Equity Incentive Program</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executive officers, along with all of our employees, are eligible to participate in our awarding of stock options under our 2004 Equity Incentive Plan. As discussed above, we believe, with our performance-based approach to compensation, that equity ownership in the Company is important to tie the ultimate level of an executive officer’s compensation to the performance of our stock and stockholder gains while creating an incentive for sustained growth. We have, thus far, only used stock options as the long-term performance-based equity incentive vehicle because the Compensation Committee believes that stock options maximize executive officers’ incentive to increase our stock price and maximize stockholder value (i.e. there is no financial gain to an executive officer unless our stock price appreciates).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Equity compensation in the form of incentive or non-qualified stock options is awarded by the Compensation Committee from time to time. The size and the timing of each grant is based on a number of factors, including the executive officer’s salary, such executive officer’s contributions to the achievement of our financial and strategic objectives, the value of the stock option at the time of grant, the possible value of the option if we achieve our objectives and industry practices and norms from the collective knowledge of the Compensation Committee as seasoned executives of, consultants to, board and compensation members of, and venture capitalists with investments in similar companies in the industry. The relative weight given to each of these factors varies among individuals at the Compensation Committee’s discretion. There is no set formula for the granting of stock options to individual executives and employees. Grants also may be made following a significant change in job responsibility or in recognition of a significant achievement. In November 2008, Ms. Loewy was granted stock options for 800,000 shares upon her appointment as our Chief Financial Officer. Other than Ms. Loewy’s stock option grant, no other NEOs received stock option grants in 2008.</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Stock options granted to NEOs under the various stock plans generally have a four or five-year vesting schedule in order to provide an incentive for continued employment and generally expire ten years from the date of the grant. This provides a reasonable time frame in which to provide the executive officer with the possibility of price appreciation of our shares. The exercise price of options granted under the stock plans is 100% of the fair market value of the underlying stock on the date of grant.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grant all stock option awards based on the fair market as of the date of grant. We do not have a policy of granting stock option awards at other than the fair market value. The exercise price for stock option grants is determined by looking at the fair market value of the last quoted price per share on the Nasdaq Capital Market on the date of grant. We do not have a policy and does not intend to have a policy or practice to select option grant dates for executive officers in coordination with the release of material non-public information.</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Severance and Change in Control Arrangements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July 2007, we entered into Severance and Change in Control Agreements with each of its executive officers: Joseph K. Belanoff, M.D., Chief Executive Officer; Robert L. Roe, M.D., President; and Anne M. LeDoux, Chief Accounting Officer. The terms of the agreements are identical. In September 2008, the Company amended and restated the Severance and Change in Control Agreements with each of its NEOs to adopt technical amendments to the agreements in order to comply with Section 409A of the Internal Revenue Code. In November 2008, Caroline M. Loewy entered into a Severance and Change in Control Agreement with the Company, in connection with her appointment as our Chief Financial Officer. For a detailed description of the Severance and Change in Control Agreements, see the “</w:t>
      </w:r>
      <w:r>
        <w:rPr>
          <w:rFonts w:ascii="Arial" w:cs="Arial" w:eastAsia="Arial" w:hAnsi="Arial"/>
          <w:sz w:val="16"/>
          <w:szCs w:val="16"/>
          <w:i w:val="1"/>
          <w:iCs w:val="1"/>
          <w:color w:val="auto"/>
        </w:rPr>
        <w:t>Potential Payments Upon Termination or Change in Control—Severance and Change in Control Agreements</w:t>
      </w:r>
      <w:r>
        <w:rPr>
          <w:rFonts w:ascii="Arial" w:cs="Arial" w:eastAsia="Arial" w:hAnsi="Arial"/>
          <w:sz w:val="16"/>
          <w:szCs w:val="16"/>
          <w:color w:val="auto"/>
        </w:rPr>
        <w:t>,”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Elements of Compensation and Perquisites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401(k) Plan</w:t>
      </w:r>
      <w:r>
        <w:rPr>
          <w:rFonts w:ascii="Arial" w:cs="Arial" w:eastAsia="Arial" w:hAnsi="Arial"/>
          <w:sz w:val="18"/>
          <w:szCs w:val="18"/>
          <w:color w:val="auto"/>
        </w:rPr>
        <w:t>. The Company has a Section 401(k) Savings/Retirement Plan (the “401(k) Plan”) to cover eligible employees of the Company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affiliate. The 401(k) Plan permits our eligible employees to defer up to 100% of their annual compensation, subject to certain limitations imposed by the Internal Revenue Code. The employees’ elective deferrals are immediately vested and non-forfeitable upon contribution to the 401(k) Plan. We currently make no matching contributions to the 401(k) Plan. Employees of the Company are eligible to participate in the 401(k) Plan on the first day of the month coinciding with or immediately following the first day of employment.</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Medical Insurance</w:t>
      </w:r>
      <w:r>
        <w:rPr>
          <w:rFonts w:ascii="Arial" w:cs="Arial" w:eastAsia="Arial" w:hAnsi="Arial"/>
          <w:sz w:val="18"/>
          <w:szCs w:val="18"/>
          <w:color w:val="auto"/>
        </w:rPr>
        <w:t>. We, at our sole cost, provides to each employee (including each NEO), and his or her spouse and children such health, dental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optical insurance as we may from time to time make available to our other employees of the same level of employment. Such insurance programs are part of an overall broad-based total compensation program designed to facilitate our ability to attract and retain employees as we compete for talented individuals in the marketplace where such benefits are commonly offered.</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Life and Disability Insurance</w:t>
      </w:r>
      <w:r>
        <w:rPr>
          <w:rFonts w:ascii="Arial" w:cs="Arial" w:eastAsia="Arial" w:hAnsi="Arial"/>
          <w:sz w:val="18"/>
          <w:szCs w:val="18"/>
          <w:color w:val="auto"/>
        </w:rPr>
        <w:t>. We provide each employee (including each NEO) such disability and/or life insurance as we in our sole discretion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make available to our other employees of the same level of employment. Such insurance programs are part of an overall broad-based total compensation program designed to facilitate our ability to attract and retain employees as we compete for talented individuals in the marketplace where such benefits are commonly offered.</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following tables and descriptive materials set forth information concerning compensation earned for services rendered to us by our Chief Executive Officer (the CEO), President, Chief Financial Officer (the CFO) and Chief Accounting Officer (the CAO). The data for Caroline Loewy is included from November 28, 2008, the date of her appointment as our CFO. Collectively these are the “named executive officers” for the respective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compensation information for the years ended December 31, 2008, 2007 and 2006 for each of our named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Non-Equity</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2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4"/>
                <w:szCs w:val="14"/>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Bonus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2"/>
              </w:rPr>
              <w:t>Awards</w:t>
            </w:r>
          </w:p>
        </w:tc>
        <w:tc>
          <w:tcPr>
            <w:tcW w:w="320" w:type="dxa"/>
            <w:vAlign w:val="bottom"/>
          </w:tcPr>
          <w:p>
            <w:pPr>
              <w:spacing w:after="0"/>
              <w:rPr>
                <w:sz w:val="14"/>
                <w:szCs w:val="14"/>
                <w:color w:val="auto"/>
              </w:rPr>
            </w:pPr>
          </w:p>
        </w:tc>
        <w:tc>
          <w:tcPr>
            <w:tcW w:w="900" w:type="dxa"/>
            <w:vAlign w:val="bottom"/>
            <w:gridSpan w:val="2"/>
          </w:tcPr>
          <w:p>
            <w:pPr>
              <w:spacing w:after="0" w:line="163"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2"/>
              </w:rPr>
              <w:t>Compensation</w:t>
            </w:r>
          </w:p>
        </w:tc>
        <w:tc>
          <w:tcPr>
            <w:tcW w:w="3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8"/>
              </w:rPr>
              <w:t>Year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2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08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1"/>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4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Joseph K. Belanoff, M.D.,</w:t>
            </w:r>
          </w:p>
        </w:tc>
        <w:tc>
          <w:tcPr>
            <w:tcW w:w="1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2008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427,448</w:t>
            </w:r>
          </w:p>
        </w:tc>
        <w:tc>
          <w:tcPr>
            <w:tcW w:w="3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w w:val="98"/>
              </w:rPr>
              <w:t>282,500</w:t>
            </w:r>
          </w:p>
        </w:tc>
        <w:tc>
          <w:tcPr>
            <w:tcW w:w="820" w:type="dxa"/>
            <w:vAlign w:val="bottom"/>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2"/>
              </w:rPr>
              <w:t>709,948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2007</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411,008</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102,752</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8"/>
              </w:rPr>
              <w:t>200,104</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713,864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2006</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395,200</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395,200</w:t>
            </w:r>
          </w:p>
        </w:tc>
        <w:tc>
          <w:tcPr>
            <w:tcW w:w="0" w:type="dxa"/>
            <w:vAlign w:val="bottom"/>
          </w:tcPr>
          <w:p>
            <w:pPr>
              <w:spacing w:after="0"/>
              <w:rPr>
                <w:sz w:val="1"/>
                <w:szCs w:val="1"/>
                <w:color w:val="auto"/>
              </w:rPr>
            </w:pPr>
          </w:p>
        </w:tc>
      </w:tr>
      <w:tr>
        <w:trPr>
          <w:trHeight w:val="241"/>
        </w:trPr>
        <w:tc>
          <w:tcPr>
            <w:tcW w:w="3280" w:type="dxa"/>
            <w:vAlign w:val="bottom"/>
            <w:gridSpan w:val="3"/>
          </w:tcPr>
          <w:p>
            <w:pPr>
              <w:spacing w:after="0"/>
              <w:rPr>
                <w:sz w:val="20"/>
                <w:szCs w:val="20"/>
                <w:color w:val="auto"/>
              </w:rPr>
            </w:pPr>
            <w:r>
              <w:rPr>
                <w:rFonts w:ascii="Arial" w:cs="Arial" w:eastAsia="Arial" w:hAnsi="Arial"/>
                <w:sz w:val="14"/>
                <w:szCs w:val="14"/>
                <w:color w:val="auto"/>
              </w:rPr>
              <w:t>Caroline M. Loewy,</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25,000</w:t>
            </w:r>
          </w:p>
        </w:tc>
        <w:tc>
          <w:tcPr>
            <w:tcW w:w="20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14,544</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39,544</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26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r>
              <w:rPr>
                <w:rFonts w:ascii="Arial" w:cs="Arial" w:eastAsia="Arial" w:hAnsi="Arial"/>
                <w:sz w:val="22"/>
                <w:szCs w:val="22"/>
                <w:color w:val="auto"/>
                <w:vertAlign w:val="superscript"/>
              </w:rPr>
              <w:t>(2)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Robert L. Roe, M.D.,</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2008</w:t>
            </w:r>
          </w:p>
        </w:tc>
        <w:tc>
          <w:tcPr>
            <w:tcW w:w="3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w w:val="82"/>
              </w:rPr>
              <w:t>393,927</w:t>
            </w:r>
          </w:p>
        </w:tc>
        <w:tc>
          <w:tcPr>
            <w:tcW w:w="2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ind w:left="240"/>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380"/>
              <w:spacing w:after="0" w:line="155" w:lineRule="exact"/>
              <w:rPr>
                <w:sz w:val="20"/>
                <w:szCs w:val="20"/>
                <w:color w:val="auto"/>
              </w:rPr>
            </w:pPr>
            <w:r>
              <w:rPr>
                <w:rFonts w:ascii="Arial" w:cs="Arial" w:eastAsia="Arial" w:hAnsi="Arial"/>
                <w:sz w:val="14"/>
                <w:szCs w:val="14"/>
                <w:color w:val="auto"/>
                <w:w w:val="98"/>
              </w:rPr>
              <w:t>285,140</w:t>
            </w:r>
          </w:p>
        </w:tc>
        <w:tc>
          <w:tcPr>
            <w:tcW w:w="820" w:type="dxa"/>
            <w:vAlign w:val="bottom"/>
            <w:shd w:val="clear" w:color="auto" w:fill="CCEEFF"/>
          </w:tcPr>
          <w:p>
            <w:pPr>
              <w:ind w:left="620"/>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w w:val="76"/>
              </w:rPr>
              <w:t>900</w:t>
            </w:r>
          </w:p>
        </w:tc>
        <w:tc>
          <w:tcPr>
            <w:tcW w:w="32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w w:val="82"/>
              </w:rPr>
              <w:t>679,967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2007</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378,776</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95,294</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8"/>
              </w:rPr>
              <w:t>285,556</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9"/>
              </w:rPr>
              <w:t>2,400</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762,026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2006</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2"/>
              </w:rPr>
              <w:t>364,208</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8"/>
              </w:rPr>
              <w:t>268,111</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9"/>
              </w:rPr>
              <w:t>2,325</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634,644</w:t>
            </w:r>
          </w:p>
        </w:tc>
        <w:tc>
          <w:tcPr>
            <w:tcW w:w="0" w:type="dxa"/>
            <w:vAlign w:val="bottom"/>
          </w:tcPr>
          <w:p>
            <w:pPr>
              <w:spacing w:after="0"/>
              <w:rPr>
                <w:sz w:val="1"/>
                <w:szCs w:val="1"/>
                <w:color w:val="auto"/>
              </w:rPr>
            </w:pPr>
          </w:p>
        </w:tc>
      </w:tr>
      <w:tr>
        <w:trPr>
          <w:trHeight w:val="246"/>
        </w:trPr>
        <w:tc>
          <w:tcPr>
            <w:tcW w:w="3280" w:type="dxa"/>
            <w:vAlign w:val="bottom"/>
            <w:gridSpan w:val="3"/>
          </w:tcPr>
          <w:p>
            <w:pPr>
              <w:spacing w:after="0"/>
              <w:rPr>
                <w:sz w:val="20"/>
                <w:szCs w:val="20"/>
                <w:color w:val="auto"/>
              </w:rPr>
            </w:pPr>
            <w:r>
              <w:rPr>
                <w:rFonts w:ascii="Arial" w:cs="Arial" w:eastAsia="Arial" w:hAnsi="Arial"/>
                <w:sz w:val="14"/>
                <w:szCs w:val="14"/>
                <w:color w:val="auto"/>
              </w:rPr>
              <w:t>Anne LeDoux,</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82"/>
              </w:rPr>
              <w:t>208,000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20,800</w:t>
            </w:r>
          </w:p>
        </w:tc>
        <w:tc>
          <w:tcPr>
            <w:tcW w:w="3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65,545</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82"/>
              </w:rPr>
              <w:t>294,345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gridSpan w:val="2"/>
          </w:tcPr>
          <w:p>
            <w:pPr>
              <w:ind w:left="200"/>
              <w:spacing w:after="0" w:line="144" w:lineRule="exact"/>
              <w:rPr>
                <w:sz w:val="20"/>
                <w:szCs w:val="20"/>
                <w:color w:val="auto"/>
              </w:rPr>
            </w:pPr>
            <w:r>
              <w:rPr>
                <w:rFonts w:ascii="Arial" w:cs="Arial" w:eastAsia="Arial" w:hAnsi="Arial"/>
                <w:sz w:val="14"/>
                <w:szCs w:val="14"/>
                <w:color w:val="auto"/>
              </w:rPr>
              <w:t>Vice President and Controller</w:t>
            </w:r>
          </w:p>
        </w:tc>
        <w:tc>
          <w:tcPr>
            <w:tcW w:w="52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2007</w:t>
            </w:r>
          </w:p>
        </w:tc>
        <w:tc>
          <w:tcPr>
            <w:tcW w:w="32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line="144" w:lineRule="exact"/>
              <w:rPr>
                <w:sz w:val="20"/>
                <w:szCs w:val="20"/>
                <w:color w:val="auto"/>
              </w:rPr>
            </w:pPr>
            <w:r>
              <w:rPr>
                <w:rFonts w:ascii="Arial" w:cs="Arial" w:eastAsia="Arial" w:hAnsi="Arial"/>
                <w:sz w:val="14"/>
                <w:szCs w:val="14"/>
                <w:color w:val="auto"/>
                <w:w w:val="82"/>
              </w:rPr>
              <w:t>191,777</w:t>
            </w:r>
          </w:p>
        </w:tc>
        <w:tc>
          <w:tcPr>
            <w:tcW w:w="20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4" w:lineRule="exact"/>
              <w:rPr>
                <w:sz w:val="20"/>
                <w:szCs w:val="20"/>
                <w:color w:val="auto"/>
              </w:rPr>
            </w:pPr>
            <w:r>
              <w:rPr>
                <w:rFonts w:ascii="Arial" w:cs="Arial" w:eastAsia="Arial" w:hAnsi="Arial"/>
                <w:sz w:val="14"/>
                <w:szCs w:val="14"/>
                <w:color w:val="auto"/>
                <w:w w:val="97"/>
              </w:rPr>
              <w:t>47,944</w:t>
            </w:r>
          </w:p>
        </w:tc>
        <w:tc>
          <w:tcPr>
            <w:tcW w:w="38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86,890</w:t>
            </w:r>
          </w:p>
        </w:tc>
        <w:tc>
          <w:tcPr>
            <w:tcW w:w="820" w:type="dxa"/>
            <w:vAlign w:val="bottom"/>
          </w:tcPr>
          <w:p>
            <w:pPr>
              <w:ind w:left="620"/>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ind w:left="620"/>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ind w:left="180"/>
              <w:spacing w:after="0" w:line="144"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4" w:lineRule="exact"/>
              <w:rPr>
                <w:sz w:val="20"/>
                <w:szCs w:val="20"/>
                <w:color w:val="auto"/>
              </w:rPr>
            </w:pPr>
            <w:r>
              <w:rPr>
                <w:rFonts w:ascii="Arial" w:cs="Arial" w:eastAsia="Arial" w:hAnsi="Arial"/>
                <w:sz w:val="14"/>
                <w:szCs w:val="14"/>
                <w:color w:val="auto"/>
                <w:w w:val="82"/>
              </w:rPr>
              <w:t>326,611</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260" w:type="dxa"/>
            <w:vAlign w:val="bottom"/>
            <w:gridSpan w:val="2"/>
          </w:tcPr>
          <w:p>
            <w:pPr>
              <w:ind w:left="200"/>
              <w:spacing w:after="0"/>
              <w:rPr>
                <w:sz w:val="20"/>
                <w:szCs w:val="20"/>
                <w:color w:val="auto"/>
              </w:rPr>
            </w:pPr>
            <w:r>
              <w:rPr>
                <w:rFonts w:ascii="Arial" w:cs="Arial" w:eastAsia="Arial" w:hAnsi="Arial"/>
                <w:sz w:val="14"/>
                <w:szCs w:val="14"/>
                <w:color w:val="auto"/>
              </w:rPr>
              <w:t>(Chief Accounting Officer)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(3)</w:t>
            </w:r>
          </w:p>
        </w:tc>
        <w:tc>
          <w:tcPr>
            <w:tcW w:w="200" w:type="dxa"/>
            <w:vAlign w:val="bottom"/>
          </w:tcPr>
          <w:p>
            <w:pPr>
              <w:spacing w:after="0"/>
              <w:rPr>
                <w:sz w:val="24"/>
                <w:szCs w:val="24"/>
                <w:color w:val="auto"/>
              </w:rPr>
            </w:pPr>
          </w:p>
        </w:tc>
        <w:tc>
          <w:tcPr>
            <w:tcW w:w="820" w:type="dxa"/>
            <w:vAlign w:val="bottom"/>
            <w:gridSpan w:val="2"/>
          </w:tcPr>
          <w:p>
            <w:pPr>
              <w:ind w:left="2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(3)</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00" w:type="dxa"/>
            <w:vAlign w:val="bottom"/>
            <w:gridSpan w:val="2"/>
          </w:tcPr>
          <w:p>
            <w:pPr>
              <w:ind w:left="30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(3)</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(3)</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40" w:right="180" w:hanging="332"/>
        <w:spacing w:after="0" w:line="263"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officers or the actual value that may be recognized by the named executive officers with respect to these awards in the future. Instead, the amounts shown are the dollar amounts recognized by us as compensation expense for financial reporting purposes in 2008 for option awards pursuant to SFAS 123R, excluding estimates of forfeitures related to service-based vesting conditions. The relevant assumptions used to calculate the value of the option awards are set forth under Part II—Item 8—Financial Statements Notes 1—the Notes to Financial Statements—“Accounting Policies and Estimates—Stock-Based Compensation”.</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Caroline Loewy joined us in November 2008 as Chief Financial Officer.</w:t>
      </w: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Anne LeDoux served as Chief Accounting Officer from April 2007 until November 2008. Compensation earned in 2006 was not in a position as an executive 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grants of stock and option awards we made to the named executive officers in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200" w:type="dxa"/>
            <w:vAlign w:val="bottom"/>
          </w:tcPr>
          <w:p>
            <w:pPr>
              <w:spacing w:after="0"/>
              <w:rPr>
                <w:sz w:val="12"/>
                <w:szCs w:val="12"/>
                <w:color w:val="auto"/>
              </w:rPr>
            </w:pPr>
          </w:p>
        </w:tc>
        <w:tc>
          <w:tcPr>
            <w:tcW w:w="18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0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Plan Awards</w:t>
            </w:r>
          </w:p>
        </w:tc>
        <w:tc>
          <w:tcPr>
            <w:tcW w:w="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332"/>
              <w:spacing w:after="0" w:line="149" w:lineRule="exact"/>
              <w:rPr>
                <w:sz w:val="20"/>
                <w:szCs w:val="20"/>
                <w:color w:val="auto"/>
              </w:rPr>
            </w:pPr>
            <w:r>
              <w:rPr>
                <w:rFonts w:ascii="Arial" w:cs="Arial" w:eastAsia="Arial" w:hAnsi="Arial"/>
                <w:sz w:val="14"/>
                <w:szCs w:val="14"/>
                <w:b w:val="1"/>
                <w:bCs w:val="1"/>
                <w:color w:val="auto"/>
                <w:w w:val="85"/>
              </w:rPr>
              <w:t>Plan Awards</w:t>
            </w:r>
          </w:p>
        </w:tc>
        <w:tc>
          <w:tcPr>
            <w:tcW w:w="200" w:type="dxa"/>
            <w:vAlign w:val="bottom"/>
          </w:tcPr>
          <w:p>
            <w:pPr>
              <w:spacing w:after="0"/>
              <w:rPr>
                <w:sz w:val="13"/>
                <w:szCs w:val="13"/>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3"/>
                <w:szCs w:val="13"/>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3"/>
                <w:szCs w:val="13"/>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3"/>
                <w:szCs w:val="13"/>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81"/>
              </w:rPr>
              <w:t>or Base</w:t>
            </w:r>
          </w:p>
        </w:tc>
        <w:tc>
          <w:tcPr>
            <w:tcW w:w="200" w:type="dxa"/>
            <w:vAlign w:val="bottom"/>
          </w:tcPr>
          <w:p>
            <w:pPr>
              <w:spacing w:after="0"/>
              <w:rPr>
                <w:sz w:val="10"/>
                <w:szCs w:val="10"/>
                <w:color w:val="auto"/>
              </w:rPr>
            </w:pPr>
          </w:p>
        </w:tc>
        <w:tc>
          <w:tcPr>
            <w:tcW w:w="600" w:type="dxa"/>
            <w:vAlign w:val="bottom"/>
            <w:gridSpan w:val="2"/>
          </w:tcPr>
          <w:p>
            <w:pPr>
              <w:jc w:val="center"/>
              <w:ind w:right="20"/>
              <w:spacing w:after="0" w:line="122"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2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2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Grant</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hold</w:t>
            </w:r>
          </w:p>
        </w:tc>
        <w:tc>
          <w:tcPr>
            <w:tcW w:w="2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hold</w:t>
            </w:r>
          </w:p>
        </w:tc>
        <w:tc>
          <w:tcPr>
            <w:tcW w:w="2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6"/>
              </w:rPr>
              <w:t>or Units</w:t>
            </w:r>
          </w:p>
        </w:tc>
        <w:tc>
          <w:tcPr>
            <w:tcW w:w="220" w:type="dxa"/>
            <w:vAlign w:val="bottom"/>
          </w:tcPr>
          <w:p>
            <w:pPr>
              <w:spacing w:after="0"/>
              <w:rPr>
                <w:sz w:val="14"/>
                <w:szCs w:val="14"/>
                <w:color w:val="auto"/>
              </w:rPr>
            </w:pPr>
          </w:p>
        </w:tc>
        <w:tc>
          <w:tcPr>
            <w:tcW w:w="880" w:type="dxa"/>
            <w:vAlign w:val="bottom"/>
            <w:gridSpan w:val="2"/>
          </w:tcPr>
          <w:p>
            <w:pPr>
              <w:jc w:val="center"/>
              <w:ind w:right="240"/>
              <w:spacing w:after="0" w:line="163" w:lineRule="exact"/>
              <w:rPr>
                <w:sz w:val="20"/>
                <w:szCs w:val="20"/>
                <w:color w:val="auto"/>
              </w:rPr>
            </w:pPr>
            <w:r>
              <w:rPr>
                <w:rFonts w:ascii="Arial" w:cs="Arial" w:eastAsia="Arial" w:hAnsi="Arial"/>
                <w:sz w:val="12"/>
                <w:szCs w:val="12"/>
                <w:b w:val="1"/>
                <w:bCs w:val="1"/>
                <w:color w:val="auto"/>
                <w:w w:val="99"/>
              </w:rPr>
              <w:t>Options</w:t>
            </w:r>
            <w:r>
              <w:rPr>
                <w:rFonts w:ascii="Arial" w:cs="Arial" w:eastAsia="Arial" w:hAnsi="Arial"/>
                <w:sz w:val="18"/>
                <w:szCs w:val="18"/>
                <w:b w:val="1"/>
                <w:bCs w:val="1"/>
                <w:color w:val="auto"/>
                <w:w w:val="99"/>
                <w:vertAlign w:val="superscript"/>
              </w:rPr>
              <w:t>(1)</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6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7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Joseph K. Belanoff, M.D.</w:t>
            </w:r>
          </w:p>
        </w:tc>
        <w:tc>
          <w:tcPr>
            <w:tcW w:w="6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93"/>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3700" w:type="dxa"/>
            <w:vAlign w:val="bottom"/>
            <w:gridSpan w:val="3"/>
          </w:tcPr>
          <w:p>
            <w:pPr>
              <w:spacing w:after="0"/>
              <w:rPr>
                <w:sz w:val="20"/>
                <w:szCs w:val="20"/>
                <w:color w:val="auto"/>
              </w:rPr>
            </w:pPr>
            <w:r>
              <w:rPr>
                <w:rFonts w:ascii="Arial" w:cs="Arial" w:eastAsia="Arial" w:hAnsi="Arial"/>
                <w:sz w:val="14"/>
                <w:szCs w:val="14"/>
                <w:color w:val="auto"/>
              </w:rPr>
              <w:t>Caroline M. Loewy</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11/28/08</w:t>
            </w: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center"/>
              <w:ind w:left="272"/>
              <w:spacing w:after="0"/>
              <w:rPr>
                <w:sz w:val="20"/>
                <w:szCs w:val="20"/>
                <w:color w:val="auto"/>
              </w:rPr>
            </w:pPr>
            <w:r>
              <w:rPr>
                <w:rFonts w:ascii="Arial" w:cs="Arial" w:eastAsia="Arial" w:hAnsi="Arial"/>
                <w:sz w:val="14"/>
                <w:szCs w:val="14"/>
                <w:color w:val="auto"/>
                <w:w w:val="81"/>
              </w:rPr>
              <w:t>800,000</w:t>
            </w:r>
            <w:r>
              <w:rPr>
                <w:rFonts w:ascii="Arial" w:cs="Arial" w:eastAsia="Arial" w:hAnsi="Arial"/>
                <w:sz w:val="22"/>
                <w:szCs w:val="22"/>
                <w:color w:val="auto"/>
                <w:w w:val="81"/>
                <w:vertAlign w:val="superscript"/>
              </w:rPr>
              <w:t>(2)</w:t>
            </w:r>
          </w:p>
        </w:tc>
        <w:tc>
          <w:tcPr>
            <w:tcW w:w="600" w:type="dxa"/>
            <w:vAlign w:val="bottom"/>
            <w:gridSpan w:val="2"/>
          </w:tcPr>
          <w:p>
            <w:pPr>
              <w:jc w:val="center"/>
              <w:ind w:left="52"/>
              <w:spacing w:after="0"/>
              <w:rPr>
                <w:sz w:val="20"/>
                <w:szCs w:val="20"/>
                <w:color w:val="auto"/>
              </w:rPr>
            </w:pPr>
            <w:r>
              <w:rPr>
                <w:rFonts w:ascii="Arial" w:cs="Arial" w:eastAsia="Arial" w:hAnsi="Arial"/>
                <w:sz w:val="14"/>
                <w:szCs w:val="14"/>
                <w:color w:val="auto"/>
              </w:rPr>
              <w:t>$   1.02</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$ 616,000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L. Roe, M.D.</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93"/>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700" w:type="dxa"/>
            <w:vAlign w:val="bottom"/>
            <w:gridSpan w:val="3"/>
          </w:tcPr>
          <w:p>
            <w:pPr>
              <w:spacing w:after="0"/>
              <w:rPr>
                <w:sz w:val="20"/>
                <w:szCs w:val="20"/>
                <w:color w:val="auto"/>
              </w:rPr>
            </w:pPr>
            <w:r>
              <w:rPr>
                <w:rFonts w:ascii="Arial" w:cs="Arial" w:eastAsia="Arial" w:hAnsi="Arial"/>
                <w:sz w:val="14"/>
                <w:szCs w:val="14"/>
                <w:color w:val="auto"/>
              </w:rPr>
              <w:t>Anne LeDoux</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center"/>
              <w:ind w:left="93"/>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3"/>
                <w:szCs w:val="23"/>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20" w:hanging="332"/>
        <w:spacing w:after="0" w:line="227"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 of the option award is based on the fair value as of the grant date of the award (determined pursuant to SFAS 123R) multiplied by the number of shares. Refer to Notes 1—“Accounting Policies and Estimates—Stock-Based Compensation” included in the Part II—Item 8—Financial Statements in this Annual Report on Form 10-K for the relevant assumptions used to determine the valuation of our option awards.</w:t>
      </w: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options were granted under our 2004 Equity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summarizes unexercised options that have not vested and related information for each of our named executive officers as of December 31,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90"/>
              </w:rPr>
              <w:t>Option Awards</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Stock Awards</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22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84"/>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122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3"/>
              </w:rPr>
              <w:t>Securities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122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90"/>
              </w:rPr>
              <w:t>Underlying</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64"/>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122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2"/>
                <w:szCs w:val="12"/>
                <w:color w:val="auto"/>
              </w:rPr>
            </w:pPr>
          </w:p>
        </w:tc>
        <w:tc>
          <w:tcPr>
            <w:tcW w:w="7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That</w:t>
            </w: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64"/>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22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86"/>
              </w:rPr>
              <w:t>Options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64"/>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60" w:type="dxa"/>
            <w:vAlign w:val="bottom"/>
          </w:tcPr>
          <w:p>
            <w:pPr>
              <w:spacing w:after="0"/>
              <w:rPr>
                <w:sz w:val="12"/>
                <w:szCs w:val="12"/>
                <w:color w:val="auto"/>
              </w:rPr>
            </w:pPr>
          </w:p>
        </w:tc>
        <w:tc>
          <w:tcPr>
            <w:tcW w:w="122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Vested</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left="201"/>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08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Date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7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Joseph K. Belanoff, M.D.</w:t>
            </w:r>
          </w:p>
        </w:tc>
        <w:tc>
          <w:tcPr>
            <w:tcW w:w="112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1"/>
                <w:szCs w:val="11"/>
                <w:color w:val="auto"/>
              </w:rPr>
              <w:t>416,680</w:t>
            </w:r>
            <w:r>
              <w:rPr>
                <w:rFonts w:ascii="Arial" w:cs="Arial" w:eastAsia="Arial" w:hAnsi="Arial"/>
                <w:sz w:val="16"/>
                <w:szCs w:val="16"/>
                <w:color w:val="auto"/>
                <w:vertAlign w:val="superscript"/>
              </w:rPr>
              <w:t>(3)</w:t>
            </w:r>
          </w:p>
        </w:tc>
        <w:tc>
          <w:tcPr>
            <w:tcW w:w="1480" w:type="dxa"/>
            <w:vAlign w:val="bottom"/>
            <w:gridSpan w:val="3"/>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583,320</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1.50</w:t>
            </w:r>
          </w:p>
        </w:tc>
        <w:tc>
          <w:tcPr>
            <w:tcW w:w="9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w w:val="99"/>
              </w:rPr>
              <w:t>4/16/2017</w:t>
            </w:r>
          </w:p>
        </w:tc>
        <w:tc>
          <w:tcPr>
            <w:tcW w:w="5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2860" w:type="dxa"/>
            <w:vAlign w:val="bottom"/>
            <w:gridSpan w:val="3"/>
          </w:tcPr>
          <w:p>
            <w:pPr>
              <w:spacing w:after="0"/>
              <w:rPr>
                <w:sz w:val="20"/>
                <w:szCs w:val="20"/>
                <w:color w:val="auto"/>
              </w:rPr>
            </w:pPr>
            <w:r>
              <w:rPr>
                <w:rFonts w:ascii="Arial" w:cs="Arial" w:eastAsia="Arial" w:hAnsi="Arial"/>
                <w:sz w:val="14"/>
                <w:szCs w:val="14"/>
                <w:color w:val="auto"/>
              </w:rPr>
              <w:t>Caroline M. Loewy</w:t>
            </w:r>
          </w:p>
        </w:tc>
        <w:tc>
          <w:tcPr>
            <w:tcW w:w="260" w:type="dxa"/>
            <w:vAlign w:val="bottom"/>
          </w:tcPr>
          <w:p>
            <w:pPr>
              <w:spacing w:after="0"/>
              <w:rPr>
                <w:sz w:val="24"/>
                <w:szCs w:val="24"/>
                <w:color w:val="auto"/>
              </w:rPr>
            </w:pPr>
          </w:p>
        </w:tc>
        <w:tc>
          <w:tcPr>
            <w:tcW w:w="860" w:type="dxa"/>
            <w:vAlign w:val="bottom"/>
            <w:gridSpan w:val="2"/>
          </w:tcPr>
          <w:p>
            <w:pPr>
              <w:jc w:val="right"/>
              <w:ind w:right="144"/>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192"/>
              <w:spacing w:after="0"/>
              <w:rPr>
                <w:sz w:val="20"/>
                <w:szCs w:val="20"/>
                <w:color w:val="auto"/>
              </w:rPr>
            </w:pPr>
            <w:r>
              <w:rPr>
                <w:rFonts w:ascii="Arial" w:cs="Arial" w:eastAsia="Arial" w:hAnsi="Arial"/>
                <w:sz w:val="14"/>
                <w:szCs w:val="14"/>
                <w:color w:val="auto"/>
              </w:rPr>
              <w:t>800,000</w:t>
            </w:r>
            <w:r>
              <w:rPr>
                <w:rFonts w:ascii="Arial" w:cs="Arial" w:eastAsia="Arial" w:hAnsi="Arial"/>
                <w:sz w:val="22"/>
                <w:szCs w:val="22"/>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1.02</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11/28/2018</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4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Robert L. Roe, M.D.</w:t>
            </w:r>
          </w:p>
        </w:tc>
        <w:tc>
          <w:tcPr>
            <w:tcW w:w="112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0"/>
                <w:szCs w:val="10"/>
                <w:color w:val="auto"/>
              </w:rPr>
              <w:t>10,000</w:t>
            </w:r>
            <w:r>
              <w:rPr>
                <w:rFonts w:ascii="Arial" w:cs="Arial" w:eastAsia="Arial" w:hAnsi="Arial"/>
                <w:sz w:val="15"/>
                <w:szCs w:val="15"/>
                <w:color w:val="auto"/>
                <w:vertAlign w:val="superscript"/>
              </w:rPr>
              <w:t>(1)</w:t>
            </w:r>
          </w:p>
        </w:tc>
        <w:tc>
          <w:tcPr>
            <w:tcW w:w="2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392"/>
              <w:spacing w:after="0" w:line="133"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3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4"/>
                <w:szCs w:val="14"/>
                <w:color w:val="auto"/>
              </w:rPr>
              <w:t>0.10</w:t>
            </w:r>
          </w:p>
        </w:tc>
        <w:tc>
          <w:tcPr>
            <w:tcW w:w="92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4"/>
                <w:szCs w:val="14"/>
                <w:color w:val="auto"/>
                <w:w w:val="99"/>
              </w:rPr>
              <w:t>10/1/2010</w:t>
            </w:r>
          </w:p>
        </w:tc>
        <w:tc>
          <w:tcPr>
            <w:tcW w:w="5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ind w:left="240"/>
              <w:spacing w:after="0" w:line="13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ind w:left="480"/>
              <w:spacing w:after="0" w:line="13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ind w:left="48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(1)</w:t>
            </w: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7.00</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11/23/2013</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76,780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1480" w:type="dxa"/>
            <w:vAlign w:val="bottom"/>
            <w:gridSpan w:val="3"/>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23,220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4.82</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2/10/2015</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34,376</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(2)</w:t>
            </w:r>
          </w:p>
        </w:tc>
        <w:tc>
          <w:tcPr>
            <w:tcW w:w="1480" w:type="dxa"/>
            <w:vAlign w:val="bottom"/>
            <w:gridSpan w:val="3"/>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15,624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4.95</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3/2/2016</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291,676</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(3)</w:t>
            </w:r>
          </w:p>
        </w:tc>
        <w:tc>
          <w:tcPr>
            <w:tcW w:w="1480" w:type="dxa"/>
            <w:vAlign w:val="bottom"/>
            <w:gridSpan w:val="3"/>
            <w:shd w:val="clear" w:color="auto" w:fill="CCEEFF"/>
          </w:tcPr>
          <w:p>
            <w:pPr>
              <w:jc w:val="right"/>
              <w:ind w:right="332"/>
              <w:spacing w:after="0"/>
              <w:rPr>
                <w:sz w:val="20"/>
                <w:szCs w:val="20"/>
                <w:color w:val="auto"/>
              </w:rPr>
            </w:pPr>
            <w:r>
              <w:rPr>
                <w:rFonts w:ascii="Arial" w:cs="Arial" w:eastAsia="Arial" w:hAnsi="Arial"/>
                <w:sz w:val="14"/>
                <w:szCs w:val="14"/>
                <w:color w:val="auto"/>
              </w:rPr>
              <w:t>408,324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4/16/2017</w:t>
            </w: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860" w:type="dxa"/>
            <w:vAlign w:val="bottom"/>
            <w:gridSpan w:val="3"/>
          </w:tcPr>
          <w:p>
            <w:pPr>
              <w:spacing w:after="0"/>
              <w:rPr>
                <w:sz w:val="20"/>
                <w:szCs w:val="20"/>
                <w:color w:val="auto"/>
              </w:rPr>
            </w:pPr>
            <w:r>
              <w:rPr>
                <w:rFonts w:ascii="Arial" w:cs="Arial" w:eastAsia="Arial" w:hAnsi="Arial"/>
                <w:sz w:val="14"/>
                <w:szCs w:val="14"/>
                <w:color w:val="auto"/>
              </w:rPr>
              <w:t>Anne M. LeDoux</w:t>
            </w:r>
          </w:p>
        </w:tc>
        <w:tc>
          <w:tcPr>
            <w:tcW w:w="1120" w:type="dxa"/>
            <w:vAlign w:val="bottom"/>
            <w:gridSpan w:val="3"/>
          </w:tcPr>
          <w:p>
            <w:pPr>
              <w:jc w:val="right"/>
              <w:spacing w:after="0" w:line="241" w:lineRule="exact"/>
              <w:rPr>
                <w:sz w:val="20"/>
                <w:szCs w:val="20"/>
                <w:color w:val="auto"/>
              </w:rPr>
            </w:pPr>
            <w:r>
              <w:rPr>
                <w:rFonts w:ascii="Arial" w:cs="Arial" w:eastAsia="Arial" w:hAnsi="Arial"/>
                <w:sz w:val="14"/>
                <w:szCs w:val="14"/>
                <w:color w:val="auto"/>
              </w:rPr>
              <w:t>16,359</w:t>
            </w:r>
            <w:r>
              <w:rPr>
                <w:rFonts w:ascii="Arial" w:cs="Arial" w:eastAsia="Arial" w:hAnsi="Arial"/>
                <w:sz w:val="22"/>
                <w:szCs w:val="22"/>
                <w:color w:val="auto"/>
                <w:vertAlign w:val="superscript"/>
              </w:rPr>
              <w:t>(1)</w:t>
            </w:r>
          </w:p>
        </w:tc>
        <w:tc>
          <w:tcPr>
            <w:tcW w:w="1480" w:type="dxa"/>
            <w:vAlign w:val="bottom"/>
            <w:gridSpan w:val="3"/>
          </w:tcPr>
          <w:p>
            <w:pPr>
              <w:jc w:val="right"/>
              <w:ind w:right="332"/>
              <w:spacing w:after="0"/>
              <w:rPr>
                <w:sz w:val="20"/>
                <w:szCs w:val="20"/>
                <w:color w:val="auto"/>
              </w:rPr>
            </w:pPr>
            <w:r>
              <w:rPr>
                <w:rFonts w:ascii="Arial" w:cs="Arial" w:eastAsia="Arial" w:hAnsi="Arial"/>
                <w:sz w:val="14"/>
                <w:szCs w:val="14"/>
                <w:color w:val="auto"/>
              </w:rPr>
              <w:t>1,141</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12.00</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4/16/2014</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1"/>
                <w:szCs w:val="11"/>
                <w:color w:val="auto"/>
              </w:rPr>
              <w:t>35,470</w:t>
            </w:r>
            <w:r>
              <w:rPr>
                <w:rFonts w:ascii="Arial" w:cs="Arial" w:eastAsia="Arial" w:hAnsi="Arial"/>
                <w:sz w:val="17"/>
                <w:szCs w:val="17"/>
                <w:color w:val="auto"/>
                <w:vertAlign w:val="superscript"/>
              </w:rPr>
              <w:t>(1)</w:t>
            </w:r>
          </w:p>
        </w:tc>
        <w:tc>
          <w:tcPr>
            <w:tcW w:w="148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7,030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7.73</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10/6/2014</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1"/>
                <w:szCs w:val="11"/>
                <w:color w:val="auto"/>
              </w:rPr>
              <w:t>9,763</w:t>
            </w:r>
            <w:r>
              <w:rPr>
                <w:rFonts w:ascii="Arial" w:cs="Arial" w:eastAsia="Arial" w:hAnsi="Arial"/>
                <w:sz w:val="17"/>
                <w:szCs w:val="17"/>
                <w:color w:val="auto"/>
                <w:vertAlign w:val="superscript"/>
              </w:rPr>
              <w:t>(1)</w:t>
            </w:r>
          </w:p>
        </w:tc>
        <w:tc>
          <w:tcPr>
            <w:tcW w:w="148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5,237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9/23/2015</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52,085</w:t>
            </w:r>
            <w:r>
              <w:rPr>
                <w:rFonts w:ascii="Arial" w:cs="Arial" w:eastAsia="Arial" w:hAnsi="Arial"/>
                <w:sz w:val="22"/>
                <w:szCs w:val="22"/>
                <w:color w:val="auto"/>
                <w:vertAlign w:val="superscript"/>
              </w:rPr>
              <w:t>(3)</w:t>
            </w:r>
          </w:p>
        </w:tc>
        <w:tc>
          <w:tcPr>
            <w:tcW w:w="1480" w:type="dxa"/>
            <w:vAlign w:val="bottom"/>
            <w:gridSpan w:val="3"/>
          </w:tcPr>
          <w:p>
            <w:pPr>
              <w:jc w:val="right"/>
              <w:ind w:right="332"/>
              <w:spacing w:after="0"/>
              <w:rPr>
                <w:sz w:val="20"/>
                <w:szCs w:val="20"/>
                <w:color w:val="auto"/>
              </w:rPr>
            </w:pPr>
            <w:r>
              <w:rPr>
                <w:rFonts w:ascii="Arial" w:cs="Arial" w:eastAsia="Arial" w:hAnsi="Arial"/>
                <w:sz w:val="14"/>
                <w:szCs w:val="14"/>
                <w:color w:val="auto"/>
              </w:rPr>
              <w:t>72,915</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1.50</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4/16/2017</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option vests at the rate of 20% at the first anniversary of the grant date and, thereafter, at the rate of 1.67% per month, until fully vested.</w:t>
      </w:r>
    </w:p>
    <w:p>
      <w:pPr>
        <w:ind w:left="34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option vests at the rate of 25% at the first anniversary of the grant date and, thereafter, at the rate of 2.0834% per month, until fully vested.</w:t>
      </w: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option vests at the rate of 2.0834% per month until fully vested.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None of our named executive officers exercised stock options during 2008. To date, no stock awards have been granted to any of our named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 in or have account balances in qualified or non-qualified defined benefit plans sponsored by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 of our named executives participate in or have account balances in non-qualified defined contribution plans or other deferred compensation plans maintained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Severance and Change of Control Agreements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2007, we entered into Severance and Change in Control Agreements with each of our executive officers: Joseph K. Belanoff, M.D., Chief Executive Officer; Robert L. Roe, M.D., President; and Anne M. LeDoux, Chief Accounting Officer. In September 2008, we entered into amended and restated Severance and Change in Control Agreements with each of our named executive officers to adopt technical amendments to the agreements in order to comply with Section 409A of the Internal Revenue Code. In November 2008, Caroline M. Loewy entered into a Severance and Change in Control Agreement with us, in connection with her appointment as our Chief Financial Officer. The terms of the agreements are identical. The agreements provide that, if employment is terminated without cause or for good reason regardless of whether it is in connection with a change in control, the executive will be eligible for 12 months of his or her then current base salary and continued health insurance coverage for such 12-month period. In addition, the agreements provide for the full vesting of all outstanding equity awards in the event the executive employment is terminated without cause or for good reason within 18 months following a change in control. The agreement with Dr. Roe supersedes his prior agreement with the Company. The other executive officers did not have prior employment or severance agreements.</w:t>
      </w:r>
    </w:p>
    <w:p>
      <w:pPr>
        <w:spacing w:after="0" w:line="33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following table reflects compensation payable to each named executive officer under a change of control or various employment termination events. The amounts shown below assume that (i) a change of control of the Company or (ii) each named executive officer terminated employment with the Company, was effective as of December 31, 2008, and estimates the value to the named executive officer as a result of each triggering event.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w w:val="97"/>
              </w:rPr>
              <w:t>Involuntary 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Other Than for Death,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Disability or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6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Benefit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88"/>
              </w:rPr>
              <w:t>Without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Within 18 Months of</w:t>
            </w:r>
          </w:p>
        </w:tc>
        <w:tc>
          <w:tcPr>
            <w:tcW w:w="0" w:type="dxa"/>
            <w:vAlign w:val="bottom"/>
          </w:tcPr>
          <w:p>
            <w:pPr>
              <w:spacing w:after="0"/>
              <w:rPr>
                <w:sz w:val="1"/>
                <w:szCs w:val="1"/>
                <w:color w:val="auto"/>
              </w:rPr>
            </w:pPr>
          </w:p>
        </w:tc>
      </w:tr>
      <w:tr>
        <w:trPr>
          <w:trHeight w:val="16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Cause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Change of 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Joseph K. Belanoff, M.D.</w:t>
            </w:r>
          </w:p>
        </w:tc>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82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427,448</w:t>
            </w:r>
          </w:p>
        </w:tc>
        <w:tc>
          <w:tcPr>
            <w:tcW w:w="82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427,448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Accelerated Vesting, of Stock Options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Health Benefit</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316"/>
        </w:trPr>
        <w:tc>
          <w:tcPr>
            <w:tcW w:w="3440" w:type="dxa"/>
            <w:vAlign w:val="bottom"/>
            <w:gridSpan w:val="3"/>
          </w:tcPr>
          <w:p>
            <w:pPr>
              <w:spacing w:after="0"/>
              <w:rPr>
                <w:sz w:val="20"/>
                <w:szCs w:val="20"/>
                <w:color w:val="auto"/>
              </w:rPr>
            </w:pPr>
            <w:r>
              <w:rPr>
                <w:rFonts w:ascii="Arial" w:cs="Arial" w:eastAsia="Arial" w:hAnsi="Arial"/>
                <w:sz w:val="18"/>
                <w:szCs w:val="18"/>
                <w:color w:val="auto"/>
              </w:rPr>
              <w:t>Caroline M. Loewy</w:t>
            </w:r>
          </w:p>
        </w:tc>
        <w:tc>
          <w:tcPr>
            <w:tcW w:w="4260" w:type="dxa"/>
            <w:vAlign w:val="bottom"/>
          </w:tcPr>
          <w:p>
            <w:pPr>
              <w:spacing w:after="0"/>
              <w:rPr>
                <w:sz w:val="20"/>
                <w:szCs w:val="20"/>
                <w:color w:val="auto"/>
              </w:rPr>
            </w:pPr>
            <w:r>
              <w:rPr>
                <w:rFonts w:ascii="Arial" w:cs="Arial" w:eastAsia="Arial" w:hAnsi="Arial"/>
                <w:sz w:val="18"/>
                <w:szCs w:val="18"/>
                <w:color w:val="auto"/>
              </w:rPr>
              <w:t>Base Salary</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300,000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60" w:type="dxa"/>
            <w:vAlign w:val="bottom"/>
          </w:tcPr>
          <w:p>
            <w:pPr>
              <w:spacing w:after="0" w:line="217" w:lineRule="exact"/>
              <w:rPr>
                <w:sz w:val="20"/>
                <w:szCs w:val="20"/>
                <w:color w:val="auto"/>
              </w:rPr>
            </w:pPr>
            <w:r>
              <w:rPr>
                <w:rFonts w:ascii="Arial" w:cs="Arial" w:eastAsia="Arial" w:hAnsi="Arial"/>
                <w:sz w:val="18"/>
                <w:szCs w:val="18"/>
                <w:color w:val="auto"/>
              </w:rPr>
              <w:t xml:space="preserve">Accelerated Vesting, of Stock Options </w:t>
            </w:r>
            <w:r>
              <w:rPr>
                <w:rFonts w:ascii="Arial" w:cs="Arial" w:eastAsia="Arial" w:hAnsi="Arial"/>
                <w:sz w:val="22"/>
                <w:szCs w:val="22"/>
                <w:color w:val="auto"/>
                <w:vertAlign w:val="superscript"/>
              </w:rPr>
              <w:t>(1)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Health Benefit</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11,535</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Roe, M.D.</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393,927</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Accelerated Vesting, of Stock Options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Health Benefit</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9,910</w:t>
            </w:r>
          </w:p>
        </w:tc>
        <w:tc>
          <w:tcPr>
            <w:tcW w:w="0" w:type="dxa"/>
            <w:vAlign w:val="bottom"/>
          </w:tcPr>
          <w:p>
            <w:pPr>
              <w:spacing w:after="0"/>
              <w:rPr>
                <w:sz w:val="1"/>
                <w:szCs w:val="1"/>
                <w:color w:val="auto"/>
              </w:rPr>
            </w:pPr>
          </w:p>
        </w:tc>
      </w:tr>
      <w:tr>
        <w:trPr>
          <w:trHeight w:val="316"/>
        </w:trPr>
        <w:tc>
          <w:tcPr>
            <w:tcW w:w="3440" w:type="dxa"/>
            <w:vAlign w:val="bottom"/>
            <w:gridSpan w:val="3"/>
          </w:tcPr>
          <w:p>
            <w:pPr>
              <w:spacing w:after="0"/>
              <w:rPr>
                <w:sz w:val="20"/>
                <w:szCs w:val="20"/>
                <w:color w:val="auto"/>
              </w:rPr>
            </w:pPr>
            <w:r>
              <w:rPr>
                <w:rFonts w:ascii="Arial" w:cs="Arial" w:eastAsia="Arial" w:hAnsi="Arial"/>
                <w:sz w:val="18"/>
                <w:szCs w:val="18"/>
                <w:color w:val="auto"/>
              </w:rPr>
              <w:t>Anne M. LeDoux</w:t>
            </w:r>
          </w:p>
        </w:tc>
        <w:tc>
          <w:tcPr>
            <w:tcW w:w="4260" w:type="dxa"/>
            <w:vAlign w:val="bottom"/>
          </w:tcPr>
          <w:p>
            <w:pPr>
              <w:spacing w:after="0"/>
              <w:rPr>
                <w:sz w:val="20"/>
                <w:szCs w:val="20"/>
                <w:color w:val="auto"/>
              </w:rPr>
            </w:pPr>
            <w:r>
              <w:rPr>
                <w:rFonts w:ascii="Arial" w:cs="Arial" w:eastAsia="Arial" w:hAnsi="Arial"/>
                <w:sz w:val="18"/>
                <w:szCs w:val="18"/>
                <w:color w:val="auto"/>
              </w:rPr>
              <w:t>Base Salary</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208,000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60" w:type="dxa"/>
            <w:vAlign w:val="bottom"/>
          </w:tcPr>
          <w:p>
            <w:pPr>
              <w:spacing w:after="0" w:line="217" w:lineRule="exact"/>
              <w:rPr>
                <w:sz w:val="20"/>
                <w:szCs w:val="20"/>
                <w:color w:val="auto"/>
              </w:rPr>
            </w:pPr>
            <w:r>
              <w:rPr>
                <w:rFonts w:ascii="Arial" w:cs="Arial" w:eastAsia="Arial" w:hAnsi="Arial"/>
                <w:sz w:val="18"/>
                <w:szCs w:val="18"/>
                <w:color w:val="auto"/>
              </w:rPr>
              <w:t xml:space="preserve">Accelerated Vesting, of Stock Options </w:t>
            </w:r>
            <w:r>
              <w:rPr>
                <w:rFonts w:ascii="Arial" w:cs="Arial" w:eastAsia="Arial" w:hAnsi="Arial"/>
                <w:sz w:val="22"/>
                <w:szCs w:val="22"/>
                <w:color w:val="auto"/>
                <w:vertAlign w:val="superscript"/>
              </w:rPr>
              <w:t>(1)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Health Benefit</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16,320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16,320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60" w:type="dxa"/>
            <w:vAlign w:val="bottom"/>
          </w:tcPr>
          <w:p>
            <w:pPr>
              <w:ind w:left="2180"/>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Assumes that the stock options were not assumed or substituted by the successor entity to the Company or a parent or subsidiary of the successor entity.</w:t>
      </w:r>
    </w:p>
    <w:p>
      <w:pPr>
        <w:ind w:left="340" w:right="20" w:hanging="332"/>
        <w:spacing w:after="0" w:line="22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unvested options held by named executive officers as of December 31, 2008, the value ascribed to the change of control acceleration features under the Severance and Change of Control Agreements is calculated as follows:</w:t>
      </w:r>
    </w:p>
    <w:p>
      <w:pPr>
        <w:ind w:left="800" w:right="320" w:hanging="454"/>
        <w:spacing w:after="0" w:line="221" w:lineRule="auto"/>
        <w:tabs>
          <w:tab w:leader="none" w:pos="8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There is no value ascribed to any unvested options as the exercise price of all options to these individuals equaled or exceeded the closing stock price for the Company’s common stock on the Nasdaq Capital Market as of December 31, 2008.</w:t>
      </w:r>
    </w:p>
    <w:p>
      <w:pPr>
        <w:jc w:val="both"/>
        <w:ind w:left="800" w:hanging="454"/>
        <w:spacing w:after="0" w:line="227" w:lineRule="auto"/>
        <w:tabs>
          <w:tab w:leader="none" w:pos="8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If there had been any options to these individuals where the closing stock price for the Company’s common stock on the Nasdaq Capital Market as of December 31, 2008 had exceeded the exercise price of the options, the value of the acceleration benefit on change of control would have been calculated as the difference between these factors multiplied by the number of unvested options as of that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compensation information for the one year period ended December 31, 2008, for each member of our Board of Directors.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Fees</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Earned or</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Option</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Non-Equity</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1"/>
              </w:rPr>
              <w:t>Paid in</w:t>
            </w: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Deferred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Cash</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3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center"/>
              <w:ind w:left="215"/>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Earnings ($)</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James N. Wilson</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$71,250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0"/>
              </w:rPr>
              <w:t>85,490</w:t>
            </w:r>
            <w:r>
              <w:rPr>
                <w:rFonts w:ascii="Arial" w:cs="Arial" w:eastAsia="Arial" w:hAnsi="Arial"/>
                <w:sz w:val="11"/>
                <w:szCs w:val="11"/>
                <w:color w:val="auto"/>
                <w:w w:val="90"/>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156,740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7" w:lineRule="exact"/>
              <w:rPr>
                <w:sz w:val="20"/>
                <w:szCs w:val="20"/>
                <w:color w:val="auto"/>
              </w:rPr>
            </w:pPr>
            <w:r>
              <w:rPr>
                <w:rFonts w:ascii="Arial" w:cs="Arial" w:eastAsia="Arial" w:hAnsi="Arial"/>
                <w:sz w:val="18"/>
                <w:szCs w:val="18"/>
                <w:color w:val="auto"/>
              </w:rPr>
              <w:t>Joseph K. Belanoff, M.D.</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Allen Andersson</w:t>
            </w:r>
            <w:r>
              <w:rPr>
                <w:rFonts w:ascii="Arial" w:cs="Arial" w:eastAsia="Arial" w:hAnsi="Arial"/>
                <w:sz w:val="22"/>
                <w:szCs w:val="22"/>
                <w:color w:val="auto"/>
                <w:vertAlign w:val="superscript"/>
              </w:rPr>
              <w:t>(4)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$48,918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7" w:lineRule="exact"/>
              <w:rPr>
                <w:sz w:val="20"/>
                <w:szCs w:val="20"/>
                <w:color w:val="auto"/>
              </w:rPr>
            </w:pPr>
            <w:r>
              <w:rPr>
                <w:rFonts w:ascii="Arial" w:cs="Arial" w:eastAsia="Arial" w:hAnsi="Arial"/>
                <w:sz w:val="18"/>
                <w:szCs w:val="18"/>
                <w:color w:val="auto"/>
              </w:rPr>
              <w:t>G. Leonard Baker, Jr.</w:t>
            </w:r>
            <w:r>
              <w:rPr>
                <w:rFonts w:ascii="Arial" w:cs="Arial" w:eastAsia="Arial" w:hAnsi="Arial"/>
                <w:sz w:val="22"/>
                <w:szCs w:val="22"/>
                <w:color w:val="auto"/>
                <w:vertAlign w:val="superscript"/>
              </w:rPr>
              <w:t>(4)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$52,761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Joseph C. Cook, Jr.</w:t>
            </w:r>
            <w:r>
              <w:rPr>
                <w:rFonts w:ascii="Arial" w:cs="Arial" w:eastAsia="Arial" w:hAnsi="Arial"/>
                <w:sz w:val="22"/>
                <w:szCs w:val="22"/>
                <w:color w:val="auto"/>
                <w:vertAlign w:val="superscript"/>
              </w:rPr>
              <w:t>(4)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$13,370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7" w:lineRule="exact"/>
              <w:rPr>
                <w:sz w:val="20"/>
                <w:szCs w:val="20"/>
                <w:color w:val="auto"/>
              </w:rPr>
            </w:pPr>
            <w:r>
              <w:rPr>
                <w:rFonts w:ascii="Arial" w:cs="Arial" w:eastAsia="Arial" w:hAnsi="Arial"/>
                <w:sz w:val="18"/>
                <w:szCs w:val="18"/>
                <w:color w:val="auto"/>
              </w:rPr>
              <w:t>Patrick G. Enright</w:t>
            </w:r>
            <w:r>
              <w:rPr>
                <w:rFonts w:ascii="Arial" w:cs="Arial" w:eastAsia="Arial" w:hAnsi="Arial"/>
                <w:sz w:val="22"/>
                <w:szCs w:val="22"/>
                <w:color w:val="auto"/>
                <w:vertAlign w:val="superscript"/>
              </w:rPr>
              <w:t>(4)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16,250</w:t>
            </w:r>
          </w:p>
        </w:tc>
        <w:tc>
          <w:tcPr>
            <w:tcW w:w="44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$22,313</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James A. Harper</w:t>
            </w:r>
            <w:r>
              <w:rPr>
                <w:rFonts w:ascii="Arial" w:cs="Arial" w:eastAsia="Arial" w:hAnsi="Arial"/>
                <w:sz w:val="22"/>
                <w:szCs w:val="22"/>
                <w:color w:val="auto"/>
                <w:vertAlign w:val="superscript"/>
              </w:rPr>
              <w:t>(4)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$46,445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7" w:lineRule="exact"/>
              <w:rPr>
                <w:sz w:val="20"/>
                <w:szCs w:val="20"/>
                <w:color w:val="auto"/>
              </w:rPr>
            </w:pPr>
            <w:r>
              <w:rPr>
                <w:rFonts w:ascii="Arial" w:cs="Arial" w:eastAsia="Arial" w:hAnsi="Arial"/>
                <w:sz w:val="18"/>
                <w:szCs w:val="18"/>
                <w:color w:val="auto"/>
              </w:rPr>
              <w:t>David L. Mahoney</w:t>
            </w:r>
            <w:r>
              <w:rPr>
                <w:rFonts w:ascii="Arial" w:cs="Arial" w:eastAsia="Arial" w:hAnsi="Arial"/>
                <w:sz w:val="22"/>
                <w:szCs w:val="22"/>
                <w:color w:val="auto"/>
                <w:vertAlign w:val="superscript"/>
              </w:rPr>
              <w:t>(4)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25,000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$64,401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Alix Marduel, M.D.</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$12,813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7" w:lineRule="exact"/>
              <w:rPr>
                <w:sz w:val="20"/>
                <w:szCs w:val="20"/>
                <w:color w:val="auto"/>
              </w:rPr>
            </w:pPr>
            <w:r>
              <w:rPr>
                <w:rFonts w:ascii="Arial" w:cs="Arial" w:eastAsia="Arial" w:hAnsi="Arial"/>
                <w:sz w:val="18"/>
                <w:szCs w:val="18"/>
                <w:color w:val="auto"/>
              </w:rPr>
              <w:t>Edward E. Penhoet, Ph.D.</w:t>
            </w:r>
            <w:r>
              <w:rPr>
                <w:rFonts w:ascii="Arial" w:cs="Arial" w:eastAsia="Arial" w:hAnsi="Arial"/>
                <w:sz w:val="22"/>
                <w:szCs w:val="22"/>
                <w:color w:val="auto"/>
                <w:vertAlign w:val="superscript"/>
              </w:rPr>
              <w:t>(4)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$16,693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David B. Singer</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11,058</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$12,813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hanging="332"/>
        <w:spacing w:after="0" w:line="225"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directors or the actual value that may be recognized by the directors with respect to these awards in the future. Instead, the amounts shown are the dollar amounts recognized by us as compensation expense for financial reporting purposes in 2008 for option awards pursuant to SFAS 123R, excluding estimates of forfeitures related to service-based vesting conditions. The relevant assumptions used to calculate the value of the option awards are set forth under Notes 1— “Accounting Policies and Estimates—Stock-Based Compensation” included in Part II—Item 8—Financial Statements in this Annual Report on Form 10-K.</w:t>
      </w:r>
    </w:p>
    <w:p>
      <w:pPr>
        <w:spacing w:after="0" w:line="2" w:lineRule="exact"/>
        <w:rPr>
          <w:rFonts w:ascii="Arial" w:cs="Arial" w:eastAsia="Arial" w:hAnsi="Arial"/>
          <w:sz w:val="14"/>
          <w:szCs w:val="14"/>
          <w:color w:val="auto"/>
        </w:rPr>
      </w:pPr>
    </w:p>
    <w:p>
      <w:pPr>
        <w:ind w:left="340" w:right="120" w:hanging="332"/>
        <w:spacing w:after="0" w:line="22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Wilson is an employee director. He receives compensation in his role as an employee providing advice and business insight. The entire amount shown as Other Compensation for Mr. Wilson is salary paid in regard to his services as an employee. He receives no additional compensation in his capacity as a director.</w:t>
      </w:r>
    </w:p>
    <w:p>
      <w:pPr>
        <w:ind w:left="340" w:hanging="332"/>
        <w:spacing w:after="0" w:line="22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Dr. Belanoff is a full time employee and a named executive officer and is compensated in that capacity. He receives no additional compensation in his capacity as a director.</w:t>
      </w:r>
    </w:p>
    <w:p>
      <w:pPr>
        <w:ind w:left="340" w:right="40" w:hanging="332"/>
        <w:spacing w:after="0" w:line="258" w:lineRule="auto"/>
        <w:tabs>
          <w:tab w:leader="none" w:pos="3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following are the aggregate number of shares represented by option awards outstanding that have been granted to each of our non-employee directors as of December 31, 2008, the last day of the 2008 fiscal year: Mr. Andersson: 85,000; Mr. Baker: 60,000; Mr. Cook: 105,000; Mr. Enright: 70,000; Mr. Harper: 75,000; Mr. Mahoney: 130,000; Mr. Penhoet: 70,000.</w:t>
      </w: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term on the Board for Dr. Marduel and Mr. Singer were completed in June 2008 at the time of our annual meeting.</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Non-employee directors receive a director fee from us for their services as members of the Board in the amount of $15,000 per year. Members of the Audit Committee receive an additional $10,000 per year. New directors receive an initial stock option grant of 70,000 shares of our common stock in connection with their initial election to the Board. The initial director options will vest with respect to 25% of the shares on the first anniversary of the date of the grant and, thereafter, at the rate of 2.0834% per month, until fully vested. Non-employee directors who are reelected at the Annual Shareholder Meeting each receive a stock option grant that vests over the one year term as director at the rate of 8.3334% per month from the date of the Annual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Meeting until fully vested. The chairmen of the Audit Committee and the Compensation Committee each receive additional grant of 15,000 shares of our common stock with a similar one-year vesting provision.</w:t>
      </w:r>
    </w:p>
    <w:p>
      <w:pPr>
        <w:spacing w:after="0" w:line="132"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During 2008, Patrick G. Enright and Edward E. Penhoet were each awarded a stock option grant of 70,000 shares of stock as newly elected directors with the four year vesting schedule described above. Also, during 2008, the chairmen of the Audit Committee and the Compensation Committee each received a stock option grant for 30,000 shares of our stock and all other non-employee directors that were reelected in June 2008 received grants of 15,000 shares of our common stock. Directors are reimbursed for certain expenses in connection with attending Board and committee meetings.</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July 2007, we entered into a Severance and Change in Control Agreement with James N. Wilson, Chairman of the Board of Directors, which was amended and restated in September 2008 to adopt technical amendments to his agreement in order to comply with Section 409A of the Internal Revenue Code. The agreement with Mr. Wilson provides that if his employment or service on the Board terminates involuntarily without cause or good reason within eighteen months of a change in control all of his outstanding equity awards shall become fully vested. Mr. Wilson did not have a prior severance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No interlocking relationship exists, or in the past fiscal year has existed, between any member of the Company’s Compensation Committee and any member of any other company’s board of directors or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Compensation Committee of the Board of Directors (the “Compensation Committee”) has furnished this report on executive compensation. None of the members of the Compensation Committee is currently our officer or employee and all are “non-employee directors” for purposes of Rule 16b-3 under the Securities Exchange Act of 1934 and “outside directors” for purposes of Section 162(m) of the Internal Revenue Code. The Compensation Committee is responsible for designing, recommending to the Board of Directors for approval and evaluating our compensation plans, policies and programs and reviewing and approving the compensation of the Chief Executive Officer and other officers and directors.</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This report, filed in accordance with Item 407(e)(5) of Regulation S-K, should be read in conjunction with the other information relating to executive compensation which is contained elsewhere in this Annual Report on Form 10-K and is not repeated here.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context, the Compensation Committee hereby reports as follows:</w:t>
      </w:r>
    </w:p>
    <w:p>
      <w:pPr>
        <w:spacing w:after="0" w:line="90" w:lineRule="exact"/>
        <w:rPr>
          <w:sz w:val="20"/>
          <w:szCs w:val="20"/>
          <w:color w:val="auto"/>
        </w:rPr>
      </w:pPr>
    </w:p>
    <w:p>
      <w:pPr>
        <w:ind w:left="640" w:hanging="176"/>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Compensation Committee has reviewed and discussed the Compensation Discussion and Analysis section contained herein with management.</w:t>
      </w:r>
    </w:p>
    <w:p>
      <w:pPr>
        <w:spacing w:after="0" w:line="194" w:lineRule="exact"/>
        <w:rPr>
          <w:rFonts w:ascii="Arial" w:cs="Arial" w:eastAsia="Arial" w:hAnsi="Arial"/>
          <w:sz w:val="16"/>
          <w:szCs w:val="16"/>
          <w:color w:val="auto"/>
        </w:rPr>
      </w:pPr>
    </w:p>
    <w:p>
      <w:pPr>
        <w:ind w:right="120" w:firstLine="464"/>
        <w:spacing w:after="0" w:line="33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the review and discussions referred to in paragraph (1) above, the Compensation Committee recommended to our Board of Directors, and our Board of Directors has approved, that the Compensation Discussion and Analysis be included in this Annual Report on Form 10-K for filing with the SEC.</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 L</w:t>
      </w:r>
      <w:r>
        <w:rPr>
          <w:rFonts w:ascii="Arial" w:cs="Arial" w:eastAsia="Arial" w:hAnsi="Arial"/>
          <w:sz w:val="14"/>
          <w:szCs w:val="14"/>
          <w:color w:val="auto"/>
        </w:rPr>
        <w:t>EONARD BAKER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 C</w:t>
      </w:r>
      <w:r>
        <w:rPr>
          <w:rFonts w:ascii="Arial" w:cs="Arial" w:eastAsia="Arial" w:hAnsi="Arial"/>
          <w:sz w:val="14"/>
          <w:szCs w:val="14"/>
          <w:color w:val="auto"/>
        </w:rPr>
        <w:t>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LLEN</w:t>
      </w:r>
      <w:r>
        <w:rPr>
          <w:rFonts w:ascii="Arial" w:cs="Arial" w:eastAsia="Arial" w:hAnsi="Arial"/>
          <w:sz w:val="18"/>
          <w:szCs w:val="18"/>
          <w:color w:val="auto"/>
        </w:rPr>
        <w:t xml:space="preserve"> A</w:t>
      </w:r>
      <w:r>
        <w:rPr>
          <w:rFonts w:ascii="Arial" w:cs="Arial" w:eastAsia="Arial" w:hAnsi="Arial"/>
          <w:sz w:val="14"/>
          <w:szCs w:val="14"/>
          <w:color w:val="auto"/>
        </w:rPr>
        <w:t>NDERSSON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A. H</w:t>
      </w:r>
      <w:r>
        <w:rPr>
          <w:rFonts w:ascii="Arial" w:cs="Arial" w:eastAsia="Arial" w:hAnsi="Arial"/>
          <w:sz w:val="14"/>
          <w:szCs w:val="14"/>
          <w:color w:val="auto"/>
        </w:rPr>
        <w:t>ARPER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L. M</w:t>
      </w:r>
      <w:r>
        <w:rPr>
          <w:rFonts w:ascii="Arial" w:cs="Arial" w:eastAsia="Arial" w:hAnsi="Arial"/>
          <w:sz w:val="14"/>
          <w:szCs w:val="14"/>
          <w:color w:val="auto"/>
        </w:rPr>
        <w:t>AHONEY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with respect to the shares of our common stock that may be issued under all of our existing equity compensation plans, including the 2004 Equity Incentive Plan and the 2000 Stock Option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Future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9"/>
              </w:rPr>
              <w:t>(b)</w:t>
            </w: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Securities 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Weighted</w:t>
            </w: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 Issued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upon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Price of</w:t>
            </w:r>
          </w:p>
        </w:tc>
        <w:tc>
          <w:tcPr>
            <w:tcW w:w="6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76"/>
        </w:trPr>
        <w:tc>
          <w:tcPr>
            <w:tcW w:w="76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26"/>
              <w:spacing w:after="0"/>
              <w:rPr>
                <w:sz w:val="20"/>
                <w:szCs w:val="20"/>
                <w:color w:val="auto"/>
              </w:rPr>
            </w:pPr>
            <w:r>
              <w:rPr>
                <w:rFonts w:ascii="Arial" w:cs="Arial" w:eastAsia="Arial" w:hAnsi="Arial"/>
                <w:sz w:val="14"/>
                <w:szCs w:val="14"/>
                <w:b w:val="1"/>
                <w:bCs w:val="1"/>
                <w:color w:val="auto"/>
                <w:w w:val="86"/>
              </w:rPr>
              <w:t>Options</w:t>
            </w:r>
          </w:p>
        </w:tc>
        <w:tc>
          <w:tcPr>
            <w:tcW w:w="62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4"/>
              </w:rPr>
              <w:t>Column(a))</w:t>
            </w:r>
            <w:r>
              <w:rPr>
                <w:rFonts w:ascii="Arial" w:cs="Arial" w:eastAsia="Arial" w:hAnsi="Arial"/>
                <w:sz w:val="20"/>
                <w:szCs w:val="20"/>
                <w:b w:val="1"/>
                <w:bCs w:val="1"/>
                <w:color w:val="auto"/>
                <w:w w:val="94"/>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0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5,131,636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7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89"/>
              </w:rPr>
              <w:t>433,636</w:t>
            </w:r>
            <w:r>
              <w:rPr>
                <w:rFonts w:ascii="Arial" w:cs="Arial" w:eastAsia="Arial" w:hAnsi="Arial"/>
                <w:sz w:val="11"/>
                <w:szCs w:val="11"/>
                <w:color w:val="auto"/>
                <w:w w:val="89"/>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5,131,636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2"/>
              </w:rPr>
              <w:t>433,636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This figure represents shares of common stock remaining available for future issuance under our 2004 Equity Incentive Plan as of December 31, 2008.</w:t>
      </w:r>
    </w:p>
    <w:p>
      <w:pPr>
        <w:ind w:left="340" w:right="240" w:hanging="332"/>
        <w:spacing w:after="0" w:line="271" w:lineRule="auto"/>
        <w:tabs>
          <w:tab w:leader="none" w:pos="3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2004 Equity Incentive Plan contains an “evergreen” provision that automatically increases on the first business day of each fiscal year beginning January 1, the least of an additional (i) 1,000,000 shares of our common stock, (ii) 2% of the outstanding shares of common stock on the immediately preceding December 31, or (iii) an amount determined by the Board. None of our other plans has an “evergreen” provision. On December 16, 2008, the Board of Directors authorized an “evergreen” increase in the shares available for grant under the 2004 Plan in the amount of 995,264 shares. This increase, which was effective on January 1, 2009, represented 2% of the shares of our common stock outstanding on December 31, 2008.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following table sets forth information regarding ownership of our common stock as of March 15, 2009 or earlier date for information based on filings with the SEC by (a) each person known to us to own more than 5% of the outstanding shares of our common stock, (b) our directors, (c) our Chief Executive Officer and each other executive officer named in the compensation tables appearing earlier in this Form 10-K and (d) all directors and executive officers as a group. The information in this table is based solely on statements in filings with the SEC or other information we believe to be reliable. Percentage of ownership is based on 49,763,206 shares of common stock outstanding as of March 15, 2009. Beneficial ownership is determined in accordance with the rules of the SEC, and includes voting and investment power with respect to the shares. Shares of common stock subject to outstanding options and warrants exercisable within 60 days of March 15, 2009 are deemed outstanding for computing the percentage of ownership of the person holding such options or warrants, but are not deemed outstanding for computing the percentage of any other person.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c>
          <w:tcPr>
            <w:tcW w:w="23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6"/>
              </w:rPr>
              <w:t>Number of Shares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 of Shares</w:t>
            </w:r>
          </w:p>
        </w:tc>
        <w:tc>
          <w:tcPr>
            <w:tcW w:w="0" w:type="dxa"/>
            <w:vAlign w:val="bottom"/>
          </w:tcPr>
          <w:p>
            <w:pPr>
              <w:spacing w:after="0"/>
              <w:rPr>
                <w:sz w:val="1"/>
                <w:szCs w:val="1"/>
                <w:color w:val="auto"/>
              </w:rPr>
            </w:pPr>
          </w:p>
        </w:tc>
      </w:tr>
      <w:tr>
        <w:trPr>
          <w:trHeight w:val="176"/>
        </w:trPr>
        <w:tc>
          <w:tcPr>
            <w:tcW w:w="7740" w:type="dxa"/>
            <w:vAlign w:val="bottom"/>
            <w:gridSpan w:val="4"/>
            <w:vMerge w:val="continue"/>
          </w:tcPr>
          <w:p>
            <w:pPr>
              <w:spacing w:after="0"/>
              <w:rPr>
                <w:sz w:val="15"/>
                <w:szCs w:val="15"/>
                <w:color w:val="auto"/>
              </w:rPr>
            </w:pPr>
          </w:p>
        </w:tc>
        <w:tc>
          <w:tcPr>
            <w:tcW w:w="2320" w:type="dxa"/>
            <w:vAlign w:val="bottom"/>
            <w:gridSpan w:val="2"/>
          </w:tcPr>
          <w:p>
            <w:pPr>
              <w:jc w:val="center"/>
              <w:ind w:right="1060"/>
              <w:spacing w:after="0" w:line="176" w:lineRule="exact"/>
              <w:rPr>
                <w:sz w:val="20"/>
                <w:szCs w:val="20"/>
                <w:color w:val="auto"/>
              </w:rPr>
            </w:pPr>
            <w:r>
              <w:rPr>
                <w:rFonts w:ascii="Arial" w:cs="Arial" w:eastAsia="Arial" w:hAnsi="Arial"/>
                <w:sz w:val="13"/>
                <w:szCs w:val="13"/>
                <w:b w:val="1"/>
                <w:bCs w:val="1"/>
                <w:color w:val="auto"/>
                <w:w w:val="92"/>
              </w:rPr>
              <w:t>Beneficially Owned</w:t>
            </w:r>
            <w:r>
              <w:rPr>
                <w:rFonts w:ascii="Arial" w:cs="Arial" w:eastAsia="Arial" w:hAnsi="Arial"/>
                <w:sz w:val="20"/>
                <w:szCs w:val="20"/>
                <w:b w:val="1"/>
                <w:bCs w:val="1"/>
                <w:color w:val="auto"/>
                <w:w w:val="92"/>
                <w:vertAlign w:val="superscript"/>
              </w:rPr>
              <w:t>(2)</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Beneficially 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60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Longitude Venture Partners, LP and related entity</w:t>
            </w:r>
            <w:r>
              <w:rPr>
                <w:rFonts w:ascii="Arial" w:cs="Arial" w:eastAsia="Arial" w:hAnsi="Arial"/>
                <w:sz w:val="22"/>
                <w:szCs w:val="22"/>
                <w:color w:val="auto"/>
                <w:vertAlign w:val="superscript"/>
              </w:rPr>
              <w:t>(3)</w:t>
            </w:r>
          </w:p>
        </w:tc>
        <w:tc>
          <w:tcPr>
            <w:tcW w:w="1260" w:type="dxa"/>
            <w:vAlign w:val="bottom"/>
          </w:tcPr>
          <w:p>
            <w:pPr>
              <w:jc w:val="right"/>
              <w:spacing w:after="0"/>
              <w:rPr>
                <w:sz w:val="20"/>
                <w:szCs w:val="20"/>
                <w:color w:val="auto"/>
              </w:rPr>
            </w:pPr>
            <w:r>
              <w:rPr>
                <w:rFonts w:ascii="Arial" w:cs="Arial" w:eastAsia="Arial" w:hAnsi="Arial"/>
                <w:sz w:val="18"/>
                <w:szCs w:val="18"/>
                <w:color w:val="auto"/>
              </w:rPr>
              <w:t>10,803,108</w:t>
            </w:r>
          </w:p>
        </w:tc>
        <w:tc>
          <w:tcPr>
            <w:tcW w:w="10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Entities and individuals affiliated with Sutter Hill Ventures</w:t>
            </w:r>
            <w:r>
              <w:rPr>
                <w:rFonts w:ascii="Arial" w:cs="Arial" w:eastAsia="Arial" w:hAnsi="Arial"/>
                <w:sz w:val="22"/>
                <w:szCs w:val="22"/>
                <w:color w:val="auto"/>
                <w:vertAlign w:val="superscript"/>
              </w:rPr>
              <w:t>(4)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10,542,927</w:t>
            </w:r>
          </w:p>
        </w:tc>
        <w:tc>
          <w:tcPr>
            <w:tcW w:w="10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Entities affiliated with Alta Partners, LLP</w:t>
            </w:r>
            <w:r>
              <w:rPr>
                <w:rFonts w:ascii="Arial" w:cs="Arial" w:eastAsia="Arial" w:hAnsi="Arial"/>
                <w:sz w:val="22"/>
                <w:szCs w:val="22"/>
                <w:color w:val="auto"/>
                <w:vertAlign w:val="superscript"/>
              </w:rPr>
              <w:t>(5)</w:t>
            </w:r>
          </w:p>
        </w:tc>
        <w:tc>
          <w:tcPr>
            <w:tcW w:w="1260" w:type="dxa"/>
            <w:vAlign w:val="bottom"/>
          </w:tcPr>
          <w:p>
            <w:pPr>
              <w:jc w:val="right"/>
              <w:spacing w:after="0"/>
              <w:rPr>
                <w:sz w:val="20"/>
                <w:szCs w:val="20"/>
                <w:color w:val="auto"/>
              </w:rPr>
            </w:pPr>
            <w:r>
              <w:rPr>
                <w:rFonts w:ascii="Arial" w:cs="Arial" w:eastAsia="Arial" w:hAnsi="Arial"/>
                <w:sz w:val="18"/>
                <w:szCs w:val="18"/>
                <w:color w:val="auto"/>
              </w:rPr>
              <w:t>5,844,183</w:t>
            </w:r>
          </w:p>
        </w:tc>
        <w:tc>
          <w:tcPr>
            <w:tcW w:w="10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Patrick G. Enright</w:t>
            </w:r>
            <w:r>
              <w:rPr>
                <w:rFonts w:ascii="Arial" w:cs="Arial" w:eastAsia="Arial" w:hAnsi="Arial"/>
                <w:sz w:val="22"/>
                <w:szCs w:val="22"/>
                <w:color w:val="auto"/>
                <w:vertAlign w:val="superscript"/>
              </w:rPr>
              <w:t>(3)</w:t>
            </w:r>
          </w:p>
        </w:tc>
        <w:tc>
          <w:tcPr>
            <w:tcW w:w="1260" w:type="dxa"/>
            <w:vAlign w:val="bottom"/>
          </w:tcPr>
          <w:p>
            <w:pPr>
              <w:jc w:val="right"/>
              <w:spacing w:after="0"/>
              <w:rPr>
                <w:sz w:val="20"/>
                <w:szCs w:val="20"/>
                <w:color w:val="auto"/>
              </w:rPr>
            </w:pPr>
            <w:r>
              <w:rPr>
                <w:rFonts w:ascii="Arial" w:cs="Arial" w:eastAsia="Arial" w:hAnsi="Arial"/>
                <w:sz w:val="18"/>
                <w:szCs w:val="18"/>
                <w:color w:val="auto"/>
              </w:rPr>
              <w:t>10,803,108</w:t>
            </w:r>
          </w:p>
        </w:tc>
        <w:tc>
          <w:tcPr>
            <w:tcW w:w="10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G. Leonard Baker, Jr.</w:t>
            </w:r>
            <w:r>
              <w:rPr>
                <w:rFonts w:ascii="Arial" w:cs="Arial" w:eastAsia="Arial" w:hAnsi="Arial"/>
                <w:sz w:val="22"/>
                <w:szCs w:val="22"/>
                <w:color w:val="auto"/>
                <w:vertAlign w:val="superscript"/>
              </w:rPr>
              <w:t>(6)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7,241,066</w:t>
            </w:r>
          </w:p>
        </w:tc>
        <w:tc>
          <w:tcPr>
            <w:tcW w:w="10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Edward E. Penhoet</w:t>
            </w:r>
            <w:r>
              <w:rPr>
                <w:rFonts w:ascii="Arial" w:cs="Arial" w:eastAsia="Arial" w:hAnsi="Arial"/>
                <w:sz w:val="22"/>
                <w:szCs w:val="22"/>
                <w:color w:val="auto"/>
                <w:vertAlign w:val="superscript"/>
              </w:rPr>
              <w:t>(5)</w:t>
            </w:r>
          </w:p>
        </w:tc>
        <w:tc>
          <w:tcPr>
            <w:tcW w:w="1260" w:type="dxa"/>
            <w:vAlign w:val="bottom"/>
          </w:tcPr>
          <w:p>
            <w:pPr>
              <w:jc w:val="right"/>
              <w:spacing w:after="0"/>
              <w:rPr>
                <w:sz w:val="20"/>
                <w:szCs w:val="20"/>
                <w:color w:val="auto"/>
              </w:rPr>
            </w:pPr>
            <w:r>
              <w:rPr>
                <w:rFonts w:ascii="Arial" w:cs="Arial" w:eastAsia="Arial" w:hAnsi="Arial"/>
                <w:sz w:val="18"/>
                <w:szCs w:val="18"/>
                <w:color w:val="auto"/>
              </w:rPr>
              <w:t>5,844,183</w:t>
            </w:r>
          </w:p>
        </w:tc>
        <w:tc>
          <w:tcPr>
            <w:tcW w:w="10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Joseph K. Belanoff</w:t>
            </w:r>
            <w:r>
              <w:rPr>
                <w:rFonts w:ascii="Arial" w:cs="Arial" w:eastAsia="Arial" w:hAnsi="Arial"/>
                <w:sz w:val="22"/>
                <w:szCs w:val="22"/>
                <w:color w:val="auto"/>
                <w:vertAlign w:val="superscript"/>
              </w:rPr>
              <w:t>(7)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3,264,211</w:t>
            </w:r>
          </w:p>
        </w:tc>
        <w:tc>
          <w:tcPr>
            <w:tcW w:w="10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James N. Wilson</w:t>
            </w:r>
            <w:r>
              <w:rPr>
                <w:rFonts w:ascii="Arial" w:cs="Arial" w:eastAsia="Arial" w:hAnsi="Arial"/>
                <w:sz w:val="22"/>
                <w:szCs w:val="22"/>
                <w:color w:val="auto"/>
                <w:vertAlign w:val="superscript"/>
              </w:rPr>
              <w:t>(8)</w:t>
            </w:r>
          </w:p>
        </w:tc>
        <w:tc>
          <w:tcPr>
            <w:tcW w:w="1260" w:type="dxa"/>
            <w:vAlign w:val="bottom"/>
          </w:tcPr>
          <w:p>
            <w:pPr>
              <w:jc w:val="right"/>
              <w:spacing w:after="0"/>
              <w:rPr>
                <w:sz w:val="20"/>
                <w:szCs w:val="20"/>
                <w:color w:val="auto"/>
              </w:rPr>
            </w:pPr>
            <w:r>
              <w:rPr>
                <w:rFonts w:ascii="Arial" w:cs="Arial" w:eastAsia="Arial" w:hAnsi="Arial"/>
                <w:sz w:val="18"/>
                <w:szCs w:val="18"/>
                <w:color w:val="auto"/>
              </w:rPr>
              <w:t>3,163,732</w:t>
            </w:r>
          </w:p>
        </w:tc>
        <w:tc>
          <w:tcPr>
            <w:tcW w:w="10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Joseph C. Cook, Jr.</w:t>
            </w:r>
            <w:r>
              <w:rPr>
                <w:rFonts w:ascii="Arial" w:cs="Arial" w:eastAsia="Arial" w:hAnsi="Arial"/>
                <w:sz w:val="22"/>
                <w:szCs w:val="22"/>
                <w:color w:val="auto"/>
                <w:vertAlign w:val="superscript"/>
              </w:rPr>
              <w:t>(9)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2,427,625</w:t>
            </w:r>
          </w:p>
        </w:tc>
        <w:tc>
          <w:tcPr>
            <w:tcW w:w="10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David L. Mahoney</w:t>
            </w:r>
            <w:r>
              <w:rPr>
                <w:rFonts w:ascii="Arial" w:cs="Arial" w:eastAsia="Arial" w:hAnsi="Arial"/>
                <w:sz w:val="22"/>
                <w:szCs w:val="22"/>
                <w:color w:val="auto"/>
                <w:vertAlign w:val="superscript"/>
              </w:rPr>
              <w:t>(11)</w:t>
            </w:r>
          </w:p>
        </w:tc>
        <w:tc>
          <w:tcPr>
            <w:tcW w:w="1260" w:type="dxa"/>
            <w:vAlign w:val="bottom"/>
          </w:tcPr>
          <w:p>
            <w:pPr>
              <w:jc w:val="right"/>
              <w:spacing w:after="0"/>
              <w:rPr>
                <w:sz w:val="20"/>
                <w:szCs w:val="20"/>
                <w:color w:val="auto"/>
              </w:rPr>
            </w:pPr>
            <w:r>
              <w:rPr>
                <w:rFonts w:ascii="Arial" w:cs="Arial" w:eastAsia="Arial" w:hAnsi="Arial"/>
                <w:sz w:val="18"/>
                <w:szCs w:val="18"/>
                <w:color w:val="auto"/>
              </w:rPr>
              <w:t>1,117,593</w:t>
            </w:r>
          </w:p>
        </w:tc>
        <w:tc>
          <w:tcPr>
            <w:tcW w:w="10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Allen Andersson</w:t>
            </w:r>
            <w:r>
              <w:rPr>
                <w:rFonts w:ascii="Arial" w:cs="Arial" w:eastAsia="Arial" w:hAnsi="Arial"/>
                <w:sz w:val="22"/>
                <w:szCs w:val="22"/>
                <w:color w:val="auto"/>
                <w:vertAlign w:val="superscript"/>
              </w:rPr>
              <w:t>(10)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989,634</w:t>
            </w:r>
          </w:p>
        </w:tc>
        <w:tc>
          <w:tcPr>
            <w:tcW w:w="10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Robert L. Roe</w:t>
            </w:r>
            <w:r>
              <w:rPr>
                <w:rFonts w:ascii="Arial" w:cs="Arial" w:eastAsia="Arial" w:hAnsi="Arial"/>
                <w:sz w:val="22"/>
                <w:szCs w:val="22"/>
                <w:color w:val="auto"/>
                <w:vertAlign w:val="superscript"/>
              </w:rPr>
              <w:t>(12)</w:t>
            </w:r>
          </w:p>
        </w:tc>
        <w:tc>
          <w:tcPr>
            <w:tcW w:w="1260" w:type="dxa"/>
            <w:vAlign w:val="bottom"/>
          </w:tcPr>
          <w:p>
            <w:pPr>
              <w:jc w:val="right"/>
              <w:spacing w:after="0"/>
              <w:rPr>
                <w:sz w:val="20"/>
                <w:szCs w:val="20"/>
                <w:color w:val="auto"/>
              </w:rPr>
            </w:pPr>
            <w:r>
              <w:rPr>
                <w:rFonts w:ascii="Arial" w:cs="Arial" w:eastAsia="Arial" w:hAnsi="Arial"/>
                <w:sz w:val="18"/>
                <w:szCs w:val="18"/>
                <w:color w:val="auto"/>
              </w:rPr>
              <w:t>733,615</w:t>
            </w:r>
          </w:p>
        </w:tc>
        <w:tc>
          <w:tcPr>
            <w:tcW w:w="10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James A. Harper</w:t>
            </w:r>
            <w:r>
              <w:rPr>
                <w:rFonts w:ascii="Arial" w:cs="Arial" w:eastAsia="Arial" w:hAnsi="Arial"/>
                <w:sz w:val="22"/>
                <w:szCs w:val="22"/>
                <w:color w:val="auto"/>
                <w:vertAlign w:val="superscript"/>
              </w:rPr>
              <w:t>(13)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151,236</w:t>
            </w:r>
          </w:p>
        </w:tc>
        <w:tc>
          <w:tcPr>
            <w:tcW w:w="10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Anne M. LeDoux</w:t>
            </w:r>
            <w:r>
              <w:rPr>
                <w:rFonts w:ascii="Arial" w:cs="Arial" w:eastAsia="Arial" w:hAnsi="Arial"/>
                <w:sz w:val="22"/>
                <w:szCs w:val="22"/>
                <w:color w:val="auto"/>
                <w:vertAlign w:val="superscript"/>
              </w:rPr>
              <w:t>(14)</w:t>
            </w:r>
          </w:p>
        </w:tc>
        <w:tc>
          <w:tcPr>
            <w:tcW w:w="1260" w:type="dxa"/>
            <w:vAlign w:val="bottom"/>
          </w:tcPr>
          <w:p>
            <w:pPr>
              <w:jc w:val="right"/>
              <w:spacing w:after="0"/>
              <w:rPr>
                <w:sz w:val="20"/>
                <w:szCs w:val="20"/>
                <w:color w:val="auto"/>
              </w:rPr>
            </w:pPr>
            <w:r>
              <w:rPr>
                <w:rFonts w:ascii="Arial" w:cs="Arial" w:eastAsia="Arial" w:hAnsi="Arial"/>
                <w:sz w:val="18"/>
                <w:szCs w:val="18"/>
                <w:color w:val="auto"/>
              </w:rPr>
              <w:t>129,786</w:t>
            </w:r>
          </w:p>
        </w:tc>
        <w:tc>
          <w:tcPr>
            <w:tcW w:w="10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Caroline M. Loewy</w:t>
            </w:r>
            <w:r>
              <w:rPr>
                <w:rFonts w:ascii="Arial" w:cs="Arial" w:eastAsia="Arial" w:hAnsi="Arial"/>
                <w:sz w:val="22"/>
                <w:szCs w:val="22"/>
                <w:color w:val="auto"/>
                <w:vertAlign w:val="superscript"/>
              </w:rPr>
              <w:t>(15)</w:t>
            </w:r>
          </w:p>
        </w:tc>
        <w:tc>
          <w:tcPr>
            <w:tcW w:w="2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3"/>
          </w:tcPr>
          <w:p>
            <w:pPr>
              <w:ind w:left="420"/>
              <w:spacing w:after="0" w:line="223" w:lineRule="exact"/>
              <w:rPr>
                <w:sz w:val="20"/>
                <w:szCs w:val="20"/>
                <w:color w:val="auto"/>
              </w:rPr>
            </w:pPr>
            <w:r>
              <w:rPr>
                <w:rFonts w:ascii="Arial" w:cs="Arial" w:eastAsia="Arial" w:hAnsi="Arial"/>
                <w:sz w:val="18"/>
                <w:szCs w:val="18"/>
                <w:color w:val="auto"/>
              </w:rPr>
              <w:t>All directors and executive officers as a group (12 persons)</w:t>
            </w:r>
            <w:r>
              <w:rPr>
                <w:rFonts w:ascii="Arial" w:cs="Arial" w:eastAsia="Arial" w:hAnsi="Arial"/>
                <w:sz w:val="22"/>
                <w:szCs w:val="22"/>
                <w:color w:val="auto"/>
                <w:vertAlign w:val="superscript"/>
              </w:rPr>
              <w:t>(16)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35,865,789</w:t>
            </w:r>
          </w:p>
        </w:tc>
        <w:tc>
          <w:tcPr>
            <w:tcW w:w="10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6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Less than 1% of our outstanding common stock.</w:t>
      </w:r>
    </w:p>
    <w:p>
      <w:pPr>
        <w:spacing w:after="0" w:line="5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Unless otherwise indicated, the address of each of the named individuals is c/o Corcept Therapeutics, 149 Commonwealth Drive, Menlo Park, California 94025.</w:t>
      </w:r>
    </w:p>
    <w:p>
      <w:pPr>
        <w:spacing w:after="0" w:line="55" w:lineRule="exact"/>
        <w:rPr>
          <w:rFonts w:ascii="Arial" w:cs="Arial" w:eastAsia="Arial" w:hAnsi="Arial"/>
          <w:sz w:val="14"/>
          <w:szCs w:val="14"/>
          <w:color w:val="auto"/>
        </w:rPr>
      </w:pPr>
    </w:p>
    <w:p>
      <w:pPr>
        <w:ind w:left="460" w:right="140" w:hanging="452"/>
        <w:spacing w:after="0" w:line="233" w:lineRule="auto"/>
        <w:tabs>
          <w:tab w:leader="none" w:pos="4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Beneficial ownership of shares is determined in accordance with the rules of the SEC and generally includes any shares over which a person exercises sole or shared voting or investment power, or of which a person has the right to acquire ownership within 60 days after March 15, 2009. Except as otherwise noted, each person or entity has sole voting and investment power with respect to the shares shown.</w:t>
      </w:r>
    </w:p>
    <w:p>
      <w:pPr>
        <w:spacing w:after="0" w:line="44" w:lineRule="exact"/>
        <w:rPr>
          <w:rFonts w:ascii="Arial" w:cs="Arial" w:eastAsia="Arial" w:hAnsi="Arial"/>
          <w:sz w:val="14"/>
          <w:szCs w:val="14"/>
          <w:color w:val="auto"/>
        </w:rPr>
      </w:pPr>
    </w:p>
    <w:p>
      <w:pPr>
        <w:ind w:left="460" w:hanging="452"/>
        <w:spacing w:after="0"/>
        <w:tabs>
          <w:tab w:leader="none" w:pos="4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(a) 8,431,500 shares held of record by Longitude Venture Partners, LP, and 2,261,418 shares that may be acquired by the entity within 60 days of March 15, 2009 pursuant to a warrant</w:t>
      </w:r>
    </w:p>
    <w:p>
      <w:pPr>
        <w:spacing w:after="0" w:line="22" w:lineRule="exact"/>
        <w:rPr>
          <w:rFonts w:ascii="Arial" w:cs="Arial" w:eastAsia="Arial" w:hAnsi="Arial"/>
          <w:sz w:val="12"/>
          <w:szCs w:val="12"/>
          <w:color w:val="auto"/>
        </w:rPr>
      </w:pPr>
    </w:p>
    <w:p>
      <w:pPr>
        <w:jc w:val="both"/>
        <w:ind w:left="460" w:right="20" w:hanging="6"/>
        <w:spacing w:after="0" w:line="227" w:lineRule="auto"/>
        <w:tabs>
          <w:tab w:leader="none" w:pos="651" w:val="left"/>
        </w:tabs>
        <w:numPr>
          <w:ilvl w:val="1"/>
          <w:numId w:val="55"/>
        </w:numPr>
        <w:rPr>
          <w:rFonts w:ascii="Arial" w:cs="Arial" w:eastAsia="Arial" w:hAnsi="Arial"/>
          <w:sz w:val="14"/>
          <w:szCs w:val="14"/>
          <w:color w:val="auto"/>
        </w:rPr>
      </w:pPr>
      <w:r>
        <w:rPr>
          <w:rFonts w:ascii="Arial" w:cs="Arial" w:eastAsia="Arial" w:hAnsi="Arial"/>
          <w:sz w:val="14"/>
          <w:szCs w:val="14"/>
          <w:color w:val="auto"/>
        </w:rPr>
        <w:t>91,232 shares held of record by Longitude Capital Associates, L.P. and 9,750 shares that may be acquired by that entity within 60 days of March 15, 2009 pursuant to a warrant, and (c) 18,958 shares issuable pursuant to an option to Patrick Enright exercisable within 60 days of March 15, 2009. Mr. Enright disclaims beneficial ownership of all such shares, except to the extent of his pecuniary interest therein. The address for Longitude Capital is 800 El Camino Real, Suite 220, Menlo Park, California 94025.</w:t>
      </w:r>
    </w:p>
    <w:p>
      <w:pPr>
        <w:spacing w:after="0" w:line="44" w:lineRule="exact"/>
        <w:rPr>
          <w:rFonts w:ascii="Arial" w:cs="Arial" w:eastAsia="Arial" w:hAnsi="Arial"/>
          <w:sz w:val="14"/>
          <w:szCs w:val="14"/>
          <w:color w:val="auto"/>
        </w:rPr>
      </w:pPr>
    </w:p>
    <w:p>
      <w:pPr>
        <w:ind w:left="460" w:right="20" w:hanging="452"/>
        <w:spacing w:after="0" w:line="260" w:lineRule="auto"/>
        <w:tabs>
          <w:tab w:leader="none" w:pos="4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Consists of: (a) 4,338,742 shares held by Sutter Hill Ventures, A California Limited Partnership (Sutter Hill Ventures), and 400,199 shares that may be acquired by the entity within 60 days of March 15, 2009 pursuant to warrants, (b) 29,273 shares held by Sutter Hill Entrepreneurs Fund (AI), L.P. (SHAI), (c) 74,113 shares held by Sutter Hill Entrepreneurs Fund (QP), L.P. (SHQP), (d) 3,025,528 shares held by individuals affiliated with Sutter Hill Ventures and entities affiliated with such individuals, and 276,333 shares that may be acquired by the individuals and entities within 60 days of March 15, 2009 pursuant to warrants, (e) 205,439 shares of Common Stock owned by G. Leonard Baker, Jr., one of our directors, (f) 1,180,231 shares held by Mr. Baker, a Trustee of The Baker Revocable Trust, and 228,765 shares that may be acquired by the Trust within 60 days of March 15, 2009 pursuant to warrants, (g) 658,580 shares held by Saunders Holdings, L.P. of which Mr. Baker is a General Partner, and 68,224 shares that may be acquired by the entity within 60 days of March 15, 2009 pursuant to warrants, and (h) 57,500 shares issuable within 60 days of March 15, 2009 pursuant to options granted to Mr. Baker. Mr. Baker has shared voting and dispositive power with respect to the shares held by The Baker Revocable Trust and Saunders Holdings, L.P. Mr. Baker, Sutter Hill Ventures, SHAI and SHQP do not have any voting or dispositive power with respect to the shares held by individuals affiliated with Sutter Hill Ventures and entities affiliated with such individuals referenced under part</w:t>
      </w:r>
    </w:p>
    <w:p>
      <w:pPr>
        <w:spacing w:after="0" w:line="4" w:lineRule="exact"/>
        <w:rPr>
          <w:rFonts w:ascii="Arial" w:cs="Arial" w:eastAsia="Arial" w:hAnsi="Arial"/>
          <w:sz w:val="12"/>
          <w:szCs w:val="12"/>
          <w:color w:val="auto"/>
        </w:rPr>
      </w:pPr>
    </w:p>
    <w:p>
      <w:pPr>
        <w:ind w:left="460" w:right="160" w:hanging="6"/>
        <w:spacing w:after="0" w:line="224" w:lineRule="auto"/>
        <w:tabs>
          <w:tab w:leader="none" w:pos="651" w:val="left"/>
        </w:tabs>
        <w:numPr>
          <w:ilvl w:val="1"/>
          <w:numId w:val="56"/>
        </w:numPr>
        <w:rPr>
          <w:rFonts w:ascii="Arial" w:cs="Arial" w:eastAsia="Arial" w:hAnsi="Arial"/>
          <w:sz w:val="14"/>
          <w:szCs w:val="14"/>
          <w:color w:val="auto"/>
        </w:rPr>
      </w:pPr>
      <w:r>
        <w:rPr>
          <w:rFonts w:ascii="Arial" w:cs="Arial" w:eastAsia="Arial" w:hAnsi="Arial"/>
          <w:sz w:val="14"/>
          <w:szCs w:val="14"/>
          <w:color w:val="auto"/>
        </w:rPr>
        <w:t>of this note. Mr. Baker shares voting and dispositive power with respect to the shares held by Sutter Hill Ventures, SHAI and SHQP with the following natural persons: David L. Anderson, William H. Younger, Jr., Tench Coxe, Gregory P. Sands, James C. Gaither, James N. White, Jeffrey W. Bird, David E. Sweet, Andrew T. Sheehan and Michael L. Speiser. As a result of the shared voting and dispositive powers referenced herein, Messrs. Baker, David L. Anderson, William H. Younger, Jr., Tench Coxe, Gregory P. Sands, James C. Gaither, James N. White, Jeffrey W. Bird, David E. Sweet, Andrew T. Sheehan and Michael L. Speiser may each be deemed to beneficially own the shares held by Sutter Hill Ventures, SHAI and SHQP. The address for Sutter Hill Ventures and affiliates is 755 Page Mill Road, Suite A-200, Palo Alto, CA 94304.</w:t>
      </w:r>
    </w:p>
    <w:p>
      <w:pPr>
        <w:spacing w:after="0" w:line="47" w:lineRule="exact"/>
        <w:rPr>
          <w:rFonts w:ascii="Arial" w:cs="Arial" w:eastAsia="Arial" w:hAnsi="Arial"/>
          <w:sz w:val="14"/>
          <w:szCs w:val="14"/>
          <w:color w:val="auto"/>
        </w:rPr>
      </w:pPr>
    </w:p>
    <w:p>
      <w:pPr>
        <w:ind w:left="460" w:hanging="452"/>
        <w:spacing w:after="0"/>
        <w:tabs>
          <w:tab w:leader="none" w:pos="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Consists of: (a) 5,146,818 shares held of record by Alta BioPharma Partners II, L.P., and 522,960 shares that may be acquired by the entity within 60 days of March 15, 2009 pursuant to a warrant, and</w:t>
      </w:r>
    </w:p>
    <w:p>
      <w:pPr>
        <w:spacing w:after="0" w:line="22" w:lineRule="exact"/>
        <w:rPr>
          <w:rFonts w:ascii="Arial" w:cs="Arial" w:eastAsia="Arial" w:hAnsi="Arial"/>
          <w:sz w:val="12"/>
          <w:szCs w:val="12"/>
          <w:color w:val="auto"/>
        </w:rPr>
      </w:pPr>
    </w:p>
    <w:p>
      <w:pPr>
        <w:ind w:left="640" w:hanging="186"/>
        <w:spacing w:after="0"/>
        <w:tabs>
          <w:tab w:leader="none" w:pos="640" w:val="left"/>
        </w:tabs>
        <w:numPr>
          <w:ilvl w:val="1"/>
          <w:numId w:val="57"/>
        </w:numPr>
        <w:rPr>
          <w:rFonts w:ascii="Arial" w:cs="Arial" w:eastAsia="Arial" w:hAnsi="Arial"/>
          <w:sz w:val="12"/>
          <w:szCs w:val="12"/>
          <w:color w:val="auto"/>
        </w:rPr>
      </w:pPr>
      <w:r>
        <w:rPr>
          <w:rFonts w:ascii="Arial" w:cs="Arial" w:eastAsia="Arial" w:hAnsi="Arial"/>
          <w:sz w:val="12"/>
          <w:szCs w:val="12"/>
          <w:color w:val="auto"/>
        </w:rPr>
        <w:t>167,798 shares held of record by Alta Embarcadero BioPharma Partners II, LLC, and 6,607 shares that may be acquired by the entity within 60 days of March 15, 2009 pursuant to a warrant.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line="266" w:lineRule="auto"/>
        <w:rPr>
          <w:sz w:val="20"/>
          <w:szCs w:val="20"/>
          <w:color w:val="auto"/>
        </w:rPr>
      </w:pPr>
      <w:r>
        <w:rPr>
          <w:rFonts w:ascii="Arial" w:cs="Arial" w:eastAsia="Arial" w:hAnsi="Arial"/>
          <w:sz w:val="12"/>
          <w:szCs w:val="12"/>
          <w:color w:val="auto"/>
        </w:rPr>
        <w:t>Dr. Penhoet is a director of Alta BioPharma Management II, LLC (which is a general partner of Alta BioPharma Partners II, L.P.) and a manager of Alta Embarcadero BioPharma Partners II, LLC. Dr. Penhoet disclaims beneficial ownership of all such shares held by all of the foregoing funds, except to the extent of his proportionate pecuniary interests therein. Alta Parents II, Inc. provides investment advisory services to several venture capital funds including Alta BioPharma Partners II, L.P. and Alta Embarcadero BioPharma Partners II, LLC. The managing directors of Alta BioPharma Partners II, L.P. and the managers of Alta Embarcadero BioPharma Partners II, LLC exercise sole voting and investment power with respect to shares owned by such funds. Certain principals of Alta Partners II, Inc. are managing directors of Alto BioPharma Management II, LLC (which is the general partner of Alta BioPharma Partners II, L.P.), and managers of Alta Embarcadero BioPharma Partners II, LLC. As managing directors and managers of such entities, they may be deemed to share voting and investment powers for the shares held by the funds. The principals of Alta Partners II, Inc. disclaim beneficial ownership of all such shares held by the foregoing funds, except to the extent of their proportionate pecuniary interests therein. The address of Alta Partners II, Inc. is One Embarcadero Center, Suite 3700, San Francisco, California 94111.</w:t>
      </w:r>
    </w:p>
    <w:p>
      <w:pPr>
        <w:spacing w:after="0" w:line="46" w:lineRule="exact"/>
        <w:rPr>
          <w:sz w:val="20"/>
          <w:szCs w:val="20"/>
          <w:color w:val="auto"/>
        </w:rPr>
      </w:pPr>
    </w:p>
    <w:p>
      <w:pPr>
        <w:ind w:left="460" w:right="160" w:hanging="452"/>
        <w:spacing w:after="0" w:line="268" w:lineRule="auto"/>
        <w:tabs>
          <w:tab w:leader="none" w:pos="4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all shares referenced in footnote (4) other than the 3,025,528 shares held by individuals affiliated with Sutter Hill Ventures and entities affiliated with such individuals, and 276,333 shares that may be acquired by the individuals and entities within 60 days of March 15, 2009 pursuant to warrants, as referenced under part (d) of footnote (4.) Mr. Baker’s beneficial interest also includes:</w:t>
      </w:r>
    </w:p>
    <w:p>
      <w:pPr>
        <w:ind w:left="460" w:right="80"/>
        <w:spacing w:after="0" w:line="227" w:lineRule="auto"/>
        <w:rPr>
          <w:rFonts w:ascii="Arial" w:cs="Arial" w:eastAsia="Arial" w:hAnsi="Arial"/>
          <w:sz w:val="12"/>
          <w:szCs w:val="12"/>
          <w:color w:val="auto"/>
        </w:rPr>
      </w:pPr>
      <w:r>
        <w:rPr>
          <w:rFonts w:ascii="Arial" w:cs="Arial" w:eastAsia="Arial" w:hAnsi="Arial"/>
          <w:sz w:val="14"/>
          <w:szCs w:val="14"/>
          <w:color w:val="auto"/>
        </w:rPr>
        <w:t>(a) 228,765 shares that may be acquired by Mr. Baker as a Trustee of The Baker Revocable Trust within 60 days of March 15, 2009 pursuant to warrants, (b) 68,224 shares that may be acquired by Saunders Holdings, L.P. of which Mr. Baker is a General Partner within 60 days of March 15, 2009 pursuant to warrants, and (c) 57,500 shares issuable pursuant to options exercisable within 60 days of March 15, 2009.</w:t>
      </w:r>
    </w:p>
    <w:p>
      <w:pPr>
        <w:spacing w:after="0" w:line="57" w:lineRule="exact"/>
        <w:rPr>
          <w:rFonts w:ascii="Arial" w:cs="Arial" w:eastAsia="Arial" w:hAnsi="Arial"/>
          <w:sz w:val="12"/>
          <w:szCs w:val="12"/>
          <w:color w:val="auto"/>
        </w:rPr>
      </w:pPr>
    </w:p>
    <w:p>
      <w:pPr>
        <w:ind w:left="460" w:right="620" w:hanging="452"/>
        <w:spacing w:after="0" w:line="239" w:lineRule="auto"/>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300,000 shares held as custodian for Edward G. Belanoff and 300,000 shares held as custodian for Julia E. Belanoff under the California Uniform Transfers to Minors Act over which Dr. Belanoff has voting control and 500,016 shares issuable pursuant to an option exercisable within 60 days of March 15, 2009.</w:t>
      </w:r>
    </w:p>
    <w:p>
      <w:pPr>
        <w:spacing w:after="0" w:line="57" w:lineRule="exact"/>
        <w:rPr>
          <w:rFonts w:ascii="Arial" w:cs="Arial" w:eastAsia="Arial" w:hAnsi="Arial"/>
          <w:sz w:val="14"/>
          <w:szCs w:val="14"/>
          <w:color w:val="auto"/>
        </w:rPr>
      </w:pPr>
    </w:p>
    <w:p>
      <w:pPr>
        <w:ind w:left="460" w:right="100" w:hanging="452"/>
        <w:spacing w:after="0" w:line="230" w:lineRule="auto"/>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2,074,511 shares held of record by the James N. Wilson and Pamela D. Wilson Trust and 951,774 shares held of record by the James and Pamela Wilson Family Partners, over all of which Mr. Wilson has voting control pursuant to voting agreements. Mr. Wilson disclaims beneficial ownership of such shares, except to the extent of his pecuniary interests in the entities holding such shares. Mr. Wilson’s beneficial interest also includes 17,652 shares that may be acquired by the James and Pamela Wilson Family Partners within 60 days of March 15, 2009 pursuant to a warrant, and 119,795 shares issuable pursuant to an option exercisable within 60 days of March 15, 2009.</w:t>
      </w:r>
    </w:p>
    <w:p>
      <w:pPr>
        <w:spacing w:after="0" w:line="58" w:lineRule="exact"/>
        <w:rPr>
          <w:rFonts w:ascii="Arial" w:cs="Arial" w:eastAsia="Arial" w:hAnsi="Arial"/>
          <w:sz w:val="14"/>
          <w:szCs w:val="14"/>
          <w:color w:val="auto"/>
        </w:rPr>
      </w:pPr>
    </w:p>
    <w:p>
      <w:pPr>
        <w:ind w:left="460" w:right="20" w:hanging="452"/>
        <w:spacing w:after="0" w:line="230" w:lineRule="auto"/>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(a) 1,130,000 shares held of record by Farview Management, Co. L.P., a Texas limited partnership and 14,402 shares that may be acquired by that entity within 60 days of March 15, 2009 pursuant to a warrant (b) 193,993 shares held of record by the 2008 Cook Grantor Retained Annuity Trust and 88,261 shares that may be acquired by the Trust within 60 days of March 15, 2009 pursuant to a warrant, (c) 240,000 shares held of record by the Joseph C. Cook, Jr., IRA Rollover and 25,649 shares that may be acquired by that entity within 60 days of March 15, 2009, and (d) 103,750 shares issuable pursuant to options exercisable within 60 days of March 15, 2009.</w:t>
      </w:r>
    </w:p>
    <w:p>
      <w:pPr>
        <w:spacing w:after="0" w:line="58" w:lineRule="exact"/>
        <w:rPr>
          <w:rFonts w:ascii="Arial" w:cs="Arial" w:eastAsia="Arial" w:hAnsi="Arial"/>
          <w:sz w:val="14"/>
          <w:szCs w:val="14"/>
          <w:color w:val="auto"/>
        </w:rPr>
      </w:pPr>
    </w:p>
    <w:p>
      <w:pPr>
        <w:ind w:left="460" w:hanging="452"/>
        <w:spacing w:after="0" w:line="288" w:lineRule="auto"/>
        <w:tabs>
          <w:tab w:leader="none" w:pos="4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(a) 845,199 shares held of record by Paperboy Ventures, LLC, (b) 18 shares that may be acquired by that entity within 60 days of March 15, 2009 pursuant to a warrant, (c) 97,143 shares held by Anderieck Holdings, LLC (“Anderieck”) and (d) 47,292 shares issuable within 60 days of March 15, 2009 pursuant to options granted to Mr. Andersson. Mr. Andersson is the founder and chairman of Paperboy and the sole member of both Paperboy and Anderieck. The address of Paperboy Ventures, LLC and Anderieck Holdings, LLC is 1875 K Street NW, Suite 700, Washington, DC 20006.</w:t>
      </w:r>
    </w:p>
    <w:p>
      <w:pPr>
        <w:spacing w:after="0" w:line="16" w:lineRule="exact"/>
        <w:rPr>
          <w:rFonts w:ascii="Arial" w:cs="Arial" w:eastAsia="Arial" w:hAnsi="Arial"/>
          <w:sz w:val="12"/>
          <w:szCs w:val="12"/>
          <w:color w:val="auto"/>
        </w:rPr>
      </w:pPr>
    </w:p>
    <w:p>
      <w:pPr>
        <w:ind w:left="460" w:right="420" w:hanging="452"/>
        <w:spacing w:after="0" w:line="239" w:lineRule="auto"/>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929,249 shares held of record by the David L. Mahoney and Winnifred C. Ellis 1998 Family Trust, and 65,838 shares that may be acquired by the Trust within 60 days of March 15, 2009 pursuant to a warrant, and 122,506 shares issuable pursuant to options exercisable within 60 days of March 15, 2009.</w:t>
      </w:r>
    </w:p>
    <w:p>
      <w:pPr>
        <w:spacing w:after="0" w:line="43" w:lineRule="exact"/>
        <w:rPr>
          <w:rFonts w:ascii="Arial" w:cs="Arial" w:eastAsia="Arial" w:hAnsi="Arial"/>
          <w:sz w:val="14"/>
          <w:szCs w:val="14"/>
          <w:color w:val="auto"/>
        </w:rPr>
      </w:pPr>
    </w:p>
    <w:p>
      <w:pPr>
        <w:ind w:left="460" w:hanging="452"/>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584,725 shares issuable pursuant to options exercisable within 60 days of March 15, 2009.</w:t>
      </w:r>
    </w:p>
    <w:p>
      <w:pPr>
        <w:spacing w:after="0" w:line="55" w:lineRule="exact"/>
        <w:rPr>
          <w:rFonts w:ascii="Arial" w:cs="Arial" w:eastAsia="Arial" w:hAnsi="Arial"/>
          <w:sz w:val="14"/>
          <w:szCs w:val="14"/>
          <w:color w:val="auto"/>
        </w:rPr>
      </w:pPr>
    </w:p>
    <w:p>
      <w:pPr>
        <w:ind w:left="460" w:right="100" w:hanging="452"/>
        <w:spacing w:after="0" w:line="317" w:lineRule="auto"/>
        <w:tabs>
          <w:tab w:leader="none" w:pos="4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(a) 25,000 shares held of record by the James A. Harper 2008 Annuity Trust over which Mr. Harper is Trustee and has voting control, (b) 25,000 shares held of record by the Zo P. Harper 2008 Annuity Trust over which Mr. Harper’s spouse, Zo P. Harper, is Trustee and has voting control, and (c) 83,836 shares issuable pursuant to options exercisable within 60 days of March 15, 2009.</w:t>
      </w:r>
    </w:p>
    <w:p>
      <w:pPr>
        <w:ind w:left="460" w:hanging="452"/>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129,786 shares issuable pursuant to options exercisable within 60 days of March 15, 2009.</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Ms. Loewy has no direct holdings as of March 15, 2009, and no options exercisable within 60 days of March 15, 2009.</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Total number of shares includes common stock held by entities affiliated with directors and executive officers. See footnotes 1 through 15 above.</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On March 25, 2008, we agreed to sell an aggregate of 8,923,210 shares of our common stock, par value $0.001 per share, in a private placement at a price of $2.77 per share and warrants to purchase an additional 4,461,062 shares of our common stock at a price of $0.125 per warrant to certain investors pursuant to 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Securities Purchase Agreement executed on March 14, 2008. The warrants have a seven year term and an exercise price of $2.77 per share. The aggregate consideration to the Company was approximately $25.3 million in gross proceeds, after collection of the note receivable related to this financing of $6.0 million.</w:t>
      </w:r>
    </w:p>
    <w:p>
      <w:pPr>
        <w:spacing w:after="0" w:line="8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purchasers in this transaction were led by Longitude Venture Partners, L.P. Other investors participating in the offering include Paperboy Ventures LLC, Sutter Hill Ventures and Alta Partners, LLP, venture capital firms that are all significant shareholders in Corcept, as well as various entities and individuals related to these firms. The purchasers also included various entities affiliated with G. Leonard Baker, Jr., Joseph C. Cook, Jr., David L. Mahoney and James N. Wilson, who are members of our Board of Directors, and other qualified investors. Allen Andersson, a member of our Board of Directors, is the chairman and sole voting member of Paperboy Ventures. Mr. Baker is a partner and managing director of Sutter Hill Ventures. Edward E. Penhoet, Ph.D., a member of our Board of Directors, is a director of Alta Partners. Patrick G. Enright, managing director of Longitude Capital, became a member of our Board of Directors on April 1, 2008.</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Longitude Venture Partners, L.P., purchased 3,530,450 shares, Paperboy Ventures, LLC purchased 2,118,270 shares, Sutter Hill Ventures and related entities and affiliates purchased a total of 1,581,311 shares and entities affiliated with Alta Partners, LLP purchased a total of 1,059,135 shares. Entities related to Mr. Baker, a partner at Sutter Hill Ventures, purchased 441,307 shares (which are included as part of the Sutter Hill Ventures purchase noted above), an entity related to Mr. Cook purchased 176,522 shares, an entity related to Mr. Mahoney purchased 70,609 shares and an entity related to Mr. Wilson purchased 35,304 shares in the March 2008 Financing. This financing also included the purchase of 351,609 shares by other qualified investors.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on November 11, 2008, we entered into an Amendment to Registration Rights Agreement (the Amendment) which amended the Registration Rights Agreement (the Original Agreement), dated as of March 14, 2008, by and among us and the investors signatory thereto (the Holders). Pursuant to the Amendment, on November 11, 2008, we agreed to issue an aggregate of 883,155 shares of its common stock, valued at $1.45 per share (the closing market price of our common stock on the NASDAQ Capital Market on November 11, 2008) as full satisfaction for approximately $1.3 million in liquidated damages owed to the Holders under the Original Agreement. The Holders include Longitude Venture Partners, L.P., Paperboy Ventures LLC, Sutter Hill Ventures and Alta Partners, LLP, venture capital firms that are all significant shareholders in the Company, as well as various entities and individuals related to these firms. The purchasers also included trusts and other entities related to members of our Board of Directors, including G. Leonard Baker, Jr., Joseph C. Cook, Jr., David L. Mahoney and James N. Wilson, and other accredited investors. Allen Andersson, a member of our Board of Directors, is the chairman of Paperboy Ventures, LLC. Mr. Baker is a partner and managing director of Sutter Hill Ventures. Edward E. Penhoet, Ph. D., a member of our Board of Directors, is a director of Alta Partners, LLP. Patrick G. Enright, a member of our Board of Directors, is a managing director of Longitude Venture Partners, L.P.</w:t>
      </w:r>
    </w:p>
    <w:p>
      <w:pPr>
        <w:spacing w:after="0" w:line="12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settlement of the liquidated damages discussed above, Longitude Venture Partners, L.P., received 349,425 shares, Paperboy Ventures, LLC received 209,655 shares, Sutter Hill Ventures and related entities and affiliates received a total of 156,503 shares and entities affiliated with Alta Partners, LLP received a total of 104,826 shares. Entities related to Mr. Baker, a partner at Sutter Hill Ventures, received 43,677 shares (which are included as part of the Sutter Hill Ventures total), an entity related to Mr. Cook received 17,471 shares, an entity related to Mr. Mahoney received 6,988 shares and an entity related to Mr. Wilson received 3,494 shares.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entered into an agreement with Robert L. Roe, M.D., our President, dated October 18, 2001. Pursuant to such letter agreement, Dr. Roe received an option to purchase 250,000 shares of our common stock with an exercise price of $0.75 per share and a loan in the amount of $187,250, subject to interest rate of 6.5% and evidenced by a full-recourse promissory note to us to finance the exercise of the option. Through December 2008, Dr. Roe had repaid $99,705 of the principal of the loan plus accrued interest, leaving a total remaining balance of $87,545 plus accrued interest in the amount of $36,295 for a total combined balance of $123,840.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2007, we entered into Severance and Change in Control Agreements with each of our executive officers: Joseph K. Belanoff, M.D., Chief Executive Officer; Robert L. Roe, M.D., President; and Anne M. LeDoux, Chief Accounting Officer. In September 2008, the Company entered into amended and restated the Severance and Change in Control Agreements with each of its NEOs to adopt technical amendments to the agreements in order to comply with Section 409A of the Internal Revenue Code. In November 2008, Caroline M. Loewy entered into a Severance and Change in Control Agreement with the Company, in connection with her appointment as our Chief Financial Officer. The terms of the agreements are identical. The agreements provide that, if employment is terminated without cause or for good reason regardless of whether it is in connection with a change in control, the executive will be eligible for 12 months of his or her then current base salary and continued health insurance coverage for this same period. In addition, the agreements provide for the full vesting of all outstanding equity awards in the event the executive’s employment is terminated without cause or for good reason within 18 months following a change in control. The agreement with Dr. Roe supersedes his prior agreement with us. The other officers did not have prior employment or severance agreements.</w:t>
      </w:r>
    </w:p>
    <w:p>
      <w:pPr>
        <w:spacing w:after="0" w:line="12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In July 2007, we also entered into a Severance and Change in Control Agreement with James N. Wilson, Chairman of the Board of Directors, which was amended and restated in September 2008 to adopt technical amendments to the agreement in order to comply with Section 409A of the Internal Revenue Code. The agreement with Mr. Wilson provides that if his employment or service on the Board terminates involuntarily without cause or good reason within eighteen months of a change in control all of his outstanding equity awards shall become fully vested. Mr. Wilson did not have a prior severance agreement.</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entered into indemnification agreements with our directors and executive officers. Such agreements require us, among other things, to indemnify its officers and directors, other than for liabilities arising from willful misconduct of a culpable nature, and to advance their expenses incurred as a result of any proceedings against them as to which they could be indemnified.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23, 2008 the Board of Directors approved the engagement of Abbrah Publishing LLC (Abbrah), a firm in which the son of James N. Wilson,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chairman, is a principal, to assist the Company in the preparation and placement of materials to facilitate the recruitment of patients in its Cushing’s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Syndrome trial, based on, among other things, the special qualifications of Abbrah and its willingness to accept performance-based compensation of its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to Abbrah is based the number of patients actually enrolled in the study based on their materials. An initial payment is due upon patient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enrollment, with an additional amount due if the patient completes the study. During the year ended December 31, 2008, the Company recorded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as compensation to Abbrah. An additional expense of $18,000 is expected to be recorded during 2009 in connection with these services assuming patient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completion in the study.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has determined that the following directors are “independent” under current NASDAQ rules: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Allen Andersson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 Leonard Baker, Jr.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Joseph C. Cook, Jr.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Patrick G. Enright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James A. Harper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David L. Mahoney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 E. Penhoet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“Director Compensation” for a discussion of our director compensation policy.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Fees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Fees for audit services totaled approximately $447,000 in 2008 and $331,000 in 2007, including fees for professional services provided in connection with the annual audit of the Company’s financial statements and review of our quarterly financial statement and audit services provided in connection with other statutory or regulatory filings.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Related Fees, Tax Fees, and All Other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fees paid to our principal accounting firm during 2008 or 2007 for any of these services.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Pre-approval of audit-related and non-audit services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Audit Committee has delegated to the Chair of the Audit Committee the authority to pre-approve audit-related and non-audit services not prohibited by law to be performed by the Company’s independent registered public accounting firm and associated fees, provided that the Chair shall report any decision to pre-approve such audit-related or non-audit services and fees to the full Audit Committee at its next regular meeting.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980" w:type="dxa"/>
            <w:vAlign w:val="bottom"/>
            <w:gridSpan w:val="2"/>
          </w:tcPr>
          <w:p>
            <w:pPr>
              <w:ind w:left="32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8880" w:type="dxa"/>
            <w:vAlign w:val="bottom"/>
            <w:gridSpan w:val="8"/>
          </w:tcPr>
          <w:p>
            <w:pPr>
              <w:spacing w:after="0"/>
              <w:rPr>
                <w:sz w:val="20"/>
                <w:szCs w:val="20"/>
                <w:color w:val="auto"/>
              </w:rPr>
            </w:pPr>
            <w:r>
              <w:rPr>
                <w:rFonts w:ascii="Arial" w:cs="Arial" w:eastAsia="Arial" w:hAnsi="Arial"/>
                <w:sz w:val="18"/>
                <w:szCs w:val="18"/>
                <w:b w:val="1"/>
                <w:bCs w:val="1"/>
                <w:color w:val="auto"/>
              </w:rPr>
              <w:t>EXHIBITS, FINANCIAL STATEMENT SCHEDULES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020" w:type="dxa"/>
            <w:vAlign w:val="bottom"/>
            <w:gridSpan w:val="10"/>
          </w:tcPr>
          <w:p>
            <w:pPr>
              <w:ind w:left="460"/>
              <w:spacing w:after="0"/>
              <w:rPr>
                <w:sz w:val="20"/>
                <w:szCs w:val="20"/>
                <w:color w:val="auto"/>
              </w:rPr>
            </w:pPr>
            <w:r>
              <w:rPr>
                <w:rFonts w:ascii="Arial" w:cs="Arial" w:eastAsia="Arial" w:hAnsi="Arial"/>
                <w:sz w:val="18"/>
                <w:szCs w:val="18"/>
                <w:color w:val="auto"/>
              </w:rPr>
              <w:t>The following documents are filed as part of this Form 10-K</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140" w:type="dxa"/>
            <w:vAlign w:val="bottom"/>
            <w:gridSpan w:val="2"/>
          </w:tcPr>
          <w:p>
            <w:pPr>
              <w:ind w:left="920"/>
              <w:spacing w:after="0"/>
              <w:rPr>
                <w:sz w:val="20"/>
                <w:szCs w:val="20"/>
                <w:color w:val="auto"/>
              </w:rPr>
            </w:pPr>
            <w:r>
              <w:rPr>
                <w:rFonts w:ascii="Arial" w:cs="Arial" w:eastAsia="Arial" w:hAnsi="Arial"/>
                <w:sz w:val="18"/>
                <w:szCs w:val="18"/>
                <w:color w:val="auto"/>
                <w:w w:val="90"/>
              </w:rPr>
              <w:t>(1)</w:t>
            </w:r>
          </w:p>
        </w:tc>
        <w:tc>
          <w:tcPr>
            <w:tcW w:w="220" w:type="dxa"/>
            <w:vAlign w:val="bottom"/>
          </w:tcPr>
          <w:p>
            <w:pPr>
              <w:spacing w:after="0"/>
              <w:rPr>
                <w:sz w:val="24"/>
                <w:szCs w:val="24"/>
                <w:color w:val="auto"/>
              </w:rPr>
            </w:pPr>
          </w:p>
        </w:tc>
        <w:tc>
          <w:tcPr>
            <w:tcW w:w="8660" w:type="dxa"/>
            <w:vAlign w:val="bottom"/>
            <w:gridSpan w:val="7"/>
          </w:tcPr>
          <w:p>
            <w:pPr>
              <w:ind w:left="12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Page</w:t>
            </w:r>
          </w:p>
        </w:tc>
      </w:tr>
      <w:tr>
        <w:trPr>
          <w:trHeight w:val="171"/>
        </w:trPr>
        <w:tc>
          <w:tcPr>
            <w:tcW w:w="920" w:type="dxa"/>
            <w:vAlign w:val="bottom"/>
          </w:tcPr>
          <w:p>
            <w:pPr>
              <w:spacing w:after="0"/>
              <w:rPr>
                <w:sz w:val="14"/>
                <w:szCs w:val="14"/>
                <w:color w:val="auto"/>
              </w:rPr>
            </w:pPr>
          </w:p>
        </w:tc>
        <w:tc>
          <w:tcPr>
            <w:tcW w:w="9100" w:type="dxa"/>
            <w:vAlign w:val="bottom"/>
            <w:gridSpan w:val="9"/>
          </w:tcPr>
          <w:p>
            <w:pPr>
              <w:spacing w:after="0" w:line="171" w:lineRule="exact"/>
              <w:rPr>
                <w:rFonts w:ascii="Arial" w:cs="Arial" w:eastAsia="Arial" w:hAnsi="Arial"/>
                <w:sz w:val="18"/>
                <w:szCs w:val="18"/>
                <w:color w:val="0000EE"/>
              </w:rPr>
            </w:pPr>
            <w:hyperlink w:anchor="page89">
              <w:r>
                <w:rPr>
                  <w:rFonts w:ascii="Arial" w:cs="Arial" w:eastAsia="Arial" w:hAnsi="Arial"/>
                  <w:sz w:val="18"/>
                  <w:szCs w:val="18"/>
                  <w:color w:val="0000EE"/>
                </w:rPr>
                <w:t>Report of Independent Registered Public Accounting Firm</w:t>
              </w:r>
            </w:hyperlink>
          </w:p>
        </w:tc>
        <w:tc>
          <w:tcPr>
            <w:tcW w:w="4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r>
      <w:tr>
        <w:trPr>
          <w:trHeight w:val="228"/>
        </w:trPr>
        <w:tc>
          <w:tcPr>
            <w:tcW w:w="920" w:type="dxa"/>
            <w:vAlign w:val="bottom"/>
          </w:tcPr>
          <w:p>
            <w:pPr>
              <w:spacing w:after="0"/>
              <w:rPr>
                <w:sz w:val="19"/>
                <w:szCs w:val="19"/>
                <w:color w:val="auto"/>
              </w:rPr>
            </w:pPr>
          </w:p>
        </w:tc>
        <w:tc>
          <w:tcPr>
            <w:tcW w:w="41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Financial Statements</w:t>
            </w:r>
          </w:p>
        </w:tc>
        <w:tc>
          <w:tcPr>
            <w:tcW w:w="498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gridSpan w:val="7"/>
          </w:tcPr>
          <w:p>
            <w:pPr>
              <w:spacing w:after="0" w:line="184" w:lineRule="exact"/>
              <w:rPr>
                <w:rFonts w:ascii="Arial" w:cs="Arial" w:eastAsia="Arial" w:hAnsi="Arial"/>
                <w:sz w:val="18"/>
                <w:szCs w:val="18"/>
                <w:color w:val="0000EE"/>
              </w:rPr>
            </w:pPr>
            <w:hyperlink w:anchor="page90">
              <w:r>
                <w:rPr>
                  <w:rFonts w:ascii="Arial" w:cs="Arial" w:eastAsia="Arial" w:hAnsi="Arial"/>
                  <w:sz w:val="18"/>
                  <w:szCs w:val="18"/>
                  <w:color w:val="0000EE"/>
                </w:rPr>
                <w:t>Balance Sheets</w:t>
              </w:r>
            </w:hyperlink>
          </w:p>
        </w:tc>
        <w:tc>
          <w:tcPr>
            <w:tcW w:w="5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F-3</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91">
              <w:r>
                <w:rPr>
                  <w:rFonts w:ascii="Arial" w:cs="Arial" w:eastAsia="Arial" w:hAnsi="Arial"/>
                  <w:sz w:val="18"/>
                  <w:szCs w:val="18"/>
                  <w:color w:val="0000EE"/>
                  <w:w w:val="86"/>
                </w:rPr>
                <w:t>Statements of Operations</w:t>
              </w:r>
            </w:hyperlink>
          </w:p>
        </w:tc>
        <w:tc>
          <w:tcPr>
            <w:tcW w:w="688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Statement of Convertible Preferred Stock and Stockholders’ Equity (Net Capital Deficiency)</w:t>
              </w:r>
            </w:hyperlink>
          </w:p>
        </w:tc>
        <w:tc>
          <w:tcPr>
            <w:tcW w:w="21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Statements of Cash Flows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F-11</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gridSpan w:val="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Notes to Financial Statements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F-12</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254"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Item 601 of Regulation S-K requires the exhibits listed below. Each management contract or compensatory plan or arrangement required to be filed as an exhibit to this Form 10-K has been identified.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3"/>
              </w:rPr>
              <w:t>Exhibit</w:t>
            </w:r>
          </w:p>
        </w:tc>
        <w:tc>
          <w:tcPr>
            <w:tcW w:w="4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Number</w:t>
            </w:r>
          </w:p>
        </w:tc>
        <w:tc>
          <w:tcPr>
            <w:tcW w:w="4880" w:type="dxa"/>
            <w:vAlign w:val="bottom"/>
          </w:tcPr>
          <w:p>
            <w:pPr>
              <w:spacing w:after="0"/>
              <w:rPr>
                <w:sz w:val="19"/>
                <w:szCs w:val="19"/>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Description of Document</w:t>
            </w:r>
          </w:p>
        </w:tc>
        <w:tc>
          <w:tcPr>
            <w:tcW w:w="39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3.1</w:t>
            </w:r>
          </w:p>
        </w:tc>
        <w:tc>
          <w:tcPr>
            <w:tcW w:w="10740" w:type="dxa"/>
            <w:vAlign w:val="bottom"/>
            <w:gridSpan w:val="3"/>
          </w:tcPr>
          <w:p>
            <w:pPr>
              <w:ind w:left="880"/>
              <w:spacing w:after="0" w:line="202" w:lineRule="exact"/>
              <w:rPr>
                <w:sz w:val="20"/>
                <w:szCs w:val="20"/>
                <w:color w:val="auto"/>
              </w:rPr>
            </w:pPr>
            <w:r>
              <w:rPr>
                <w:rFonts w:ascii="Arial" w:cs="Arial" w:eastAsia="Arial" w:hAnsi="Arial"/>
                <w:sz w:val="18"/>
                <w:szCs w:val="18"/>
                <w:color w:val="auto"/>
                <w:w w:val="90"/>
              </w:rPr>
              <w:t>Amended and Restated Certificate of Incorporation (incorporated by reference to Exhibit 3.1 to the registrant’s Registration Statement on</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Form S-1/A (File No. 333-112676) filed on March 19, 2004).</w:t>
            </w: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rPr>
              <w:t>3.2</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9"/>
              </w:rPr>
              <w:t>Amended and Restated Bylaws (incorporated by reference to Exhibit 3.1 to the registrant’s Current Report on Form 8-K filed on September</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80" w:type="dxa"/>
            <w:vAlign w:val="bottom"/>
          </w:tcPr>
          <w:p>
            <w:pPr>
              <w:ind w:left="880"/>
              <w:spacing w:after="0"/>
              <w:rPr>
                <w:sz w:val="20"/>
                <w:szCs w:val="20"/>
                <w:color w:val="auto"/>
              </w:rPr>
            </w:pPr>
            <w:r>
              <w:rPr>
                <w:rFonts w:ascii="Arial" w:cs="Arial" w:eastAsia="Arial" w:hAnsi="Arial"/>
                <w:sz w:val="18"/>
                <w:szCs w:val="18"/>
                <w:color w:val="auto"/>
              </w:rPr>
              <w:t>27, 2007).</w:t>
            </w:r>
          </w:p>
        </w:tc>
        <w:tc>
          <w:tcPr>
            <w:tcW w:w="19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rPr>
              <w:t>4.1</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3"/>
              </w:rPr>
              <w:t>Specimen Common Stock Certificate (incorporated by reference to Exhibit 4.1 to the registrant’s Registration Statement on Form S-1</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(Registration No. 333-112676) filed on February 10, 2004).</w:t>
            </w: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rPr>
              <w:t>4.2</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2"/>
              </w:rPr>
              <w:t>Amended and Restated Information and Registration Rights Agreement by and among Corcept Therapeutics Incorporated and certain</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0"/>
              </w:rPr>
              <w:t>holders of preferred stock, dated as of May 8, 2001 (incorporated by reference to Exhibit 4.2 to the registrant’s Registration Statement on</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Form S-1 (Registration No. 333-112676) filed on February 10, 2004).</w:t>
            </w: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rPr>
              <w:t>4.3</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5"/>
              </w:rPr>
              <w:t>Amendment No. 1 to Amended and Restated Information and Registration Rights Agreement by and among Corcept Therapeutics</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9"/>
              </w:rPr>
              <w:t>Incorporated and certain holders of preferred stock, dated as of March 16, 2004 (incorporated by reference to Exhibit 4.3 to the registrant’s</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Registration Statement on Form S-1/A (File No. 333-112676) filed on March 19, 2004).</w:t>
            </w:r>
          </w:p>
        </w:tc>
      </w:tr>
      <w:tr>
        <w:trPr>
          <w:trHeight w:val="318"/>
        </w:trPr>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10.1*</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9"/>
              </w:rPr>
              <w:t>2000 Stock Option Plan (incorporated by reference to Exhibit 10.1 to the registrant’s Registration Statement on Form S-1 (Registration No.</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333-112676) filed on February 10, 2004).</w:t>
            </w:r>
          </w:p>
        </w:tc>
      </w:tr>
      <w:tr>
        <w:trPr>
          <w:trHeight w:val="318"/>
        </w:trPr>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10.2*</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9"/>
              </w:rPr>
              <w:t>Promissory Note and Pledge Agreement by and between Corcept Therapeutics Incorporated and Robert L. Roe, M.D., dated as of October</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0"/>
              </w:rPr>
              <w:t>22, 2001 (incorporated by reference to Exhibit 10.4 to the registrant’s Registration Statement on Form S-1 (Registration No. 333-112676)</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filed on February 10, 2004).</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8"/>
              </w:rPr>
              <w:t>License Agreement by and between The Board of Trustees of the Leland Stanford Junior University and Corcept Therapeutics Incorporated,</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2"/>
              </w:rPr>
              <w:t>dated as of July 1, 1999 (incorporated by reference to Exhibit 10.6 to the registrant’s Registration Statement on Form S-1 (Registration</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No. 333-112676) filed on February 10, 2004).</w:t>
            </w: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10.4</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0"/>
              </w:rPr>
              <w:t>Master Clinical Development Agreement by and between Corcept Therapeutics Incorporated and Scirex Corporation, dated as of July 12,</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9"/>
              </w:rPr>
              <w:t>2001 (incorporated by reference to Exhibit 10.8 to the registrant’s Registration Statement on Form S-1 (Registration No. 333-112676) filed</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on February 10, 2004).</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1"/>
              </w:rPr>
              <w:t>Memorandum of Understanding, Supply and Services Agreement, by and between Corcept Therapeutics Incorporated and ScinoPharm</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9"/>
              </w:rPr>
              <w:t>Taiwan, dated as of June 12, 2000 (incorporated by reference to Exhibit 10.9 to the registrant’s Registration Statement on Form S-1/A (File</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No. 333-112676) filed on March 19, 2004).</w:t>
            </w:r>
          </w:p>
        </w:tc>
      </w:tr>
      <w:tr>
        <w:trPr>
          <w:trHeight w:val="318"/>
        </w:trPr>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10.6*</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0"/>
              </w:rPr>
              <w:t>2004 Equity Incentive Plan (incorporated by reference to Exhibit 10.11 to the registrant’s Registration Statement on Form S-1/A (File No.</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333-112676) filed on April 9, 2004).</w:t>
            </w: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10.7</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9"/>
              </w:rPr>
              <w:t>Master Services Agreement by and between Corcept Therapeutics Incorporated and PPD Development, LP, dated as of January 17, 2003</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0"/>
              </w:rPr>
              <w:t>(incorporated by reference to Exhibit 10.12 to the registrant’s Registration Statement on Form S-1/A (File No. 333-112676) filed on March</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80" w:type="dxa"/>
            <w:vAlign w:val="bottom"/>
          </w:tcPr>
          <w:p>
            <w:pPr>
              <w:ind w:left="880"/>
              <w:spacing w:after="0"/>
              <w:rPr>
                <w:sz w:val="20"/>
                <w:szCs w:val="20"/>
                <w:color w:val="auto"/>
              </w:rPr>
            </w:pPr>
            <w:r>
              <w:rPr>
                <w:rFonts w:ascii="Arial" w:cs="Arial" w:eastAsia="Arial" w:hAnsi="Arial"/>
                <w:sz w:val="18"/>
                <w:szCs w:val="18"/>
                <w:color w:val="auto"/>
              </w:rPr>
              <w:t>19, 2004).</w:t>
            </w:r>
          </w:p>
        </w:tc>
        <w:tc>
          <w:tcPr>
            <w:tcW w:w="19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10.8</w:t>
            </w: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91"/>
              </w:rPr>
              <w:t>Master Services Agreement by and between Corcept Therapeutics Incorporated and i3 Research, a division of Ingenix Pharmaceuticals</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w w:val="89"/>
              </w:rPr>
              <w:t>Services (UK) Limited, dated as of October 28, 2004 (incorporated by reference to Exhibit 10.13 to the registrant’s Annual Report on Form</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40" w:type="dxa"/>
            <w:vAlign w:val="bottom"/>
            <w:gridSpan w:val="3"/>
          </w:tcPr>
          <w:p>
            <w:pPr>
              <w:ind w:left="880"/>
              <w:spacing w:after="0"/>
              <w:rPr>
                <w:sz w:val="20"/>
                <w:szCs w:val="20"/>
                <w:color w:val="auto"/>
              </w:rPr>
            </w:pPr>
            <w:r>
              <w:rPr>
                <w:rFonts w:ascii="Arial" w:cs="Arial" w:eastAsia="Arial" w:hAnsi="Arial"/>
                <w:sz w:val="18"/>
                <w:szCs w:val="18"/>
                <w:color w:val="auto"/>
              </w:rPr>
              <w:t>10-K filed on March 29, 2005).</w:t>
            </w: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2"/>
          </w:tcPr>
          <w:p>
            <w:pPr>
              <w:ind w:left="4980"/>
              <w:spacing w:after="0"/>
              <w:rPr>
                <w:sz w:val="20"/>
                <w:szCs w:val="20"/>
                <w:color w:val="auto"/>
              </w:rPr>
            </w:pPr>
            <w:r>
              <w:rPr>
                <w:rFonts w:ascii="Arial" w:cs="Arial" w:eastAsia="Arial" w:hAnsi="Arial"/>
                <w:sz w:val="18"/>
                <w:szCs w:val="18"/>
                <w:color w:val="auto"/>
              </w:rPr>
              <w:t>81</w:t>
            </w:r>
          </w:p>
        </w:tc>
        <w:tc>
          <w:tcPr>
            <w:tcW w:w="39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4820" w:type="dxa"/>
            <w:vAlign w:val="bottom"/>
          </w:tcPr>
          <w:p>
            <w:pPr>
              <w:spacing w:after="0"/>
              <w:rPr>
                <w:sz w:val="19"/>
                <w:szCs w:val="19"/>
                <w:color w:val="auto"/>
              </w:rPr>
            </w:pP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Description of Document</w:t>
            </w:r>
          </w:p>
        </w:tc>
        <w:tc>
          <w:tcPr>
            <w:tcW w:w="394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rPr>
              <w:t>10.9##</w:t>
            </w:r>
          </w:p>
        </w:tc>
        <w:tc>
          <w:tcPr>
            <w:tcW w:w="10680" w:type="dxa"/>
            <w:vAlign w:val="bottom"/>
            <w:gridSpan w:val="3"/>
          </w:tcPr>
          <w:p>
            <w:pPr>
              <w:ind w:left="780"/>
              <w:spacing w:after="0" w:line="202" w:lineRule="exact"/>
              <w:rPr>
                <w:sz w:val="20"/>
                <w:szCs w:val="20"/>
                <w:color w:val="auto"/>
              </w:rPr>
            </w:pPr>
            <w:r>
              <w:rPr>
                <w:rFonts w:ascii="Arial" w:cs="Arial" w:eastAsia="Arial" w:hAnsi="Arial"/>
                <w:sz w:val="18"/>
                <w:szCs w:val="18"/>
                <w:color w:val="auto"/>
                <w:w w:val="90"/>
              </w:rPr>
              <w:t>Manufacturing Agreement with Produits Chimgues Auxiliaries et de Synthese SA, dated November 8, 2006 (incorporated by reference to</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Exhibit 10.15 to the registrant’s Annual Report on Form 10-K filed on April 2, 2007).</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Common Stock Purchase Agreement by and among Corcept Therapeutics Incorporated and each of the Purchasers listed on Exhibit A</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thereto, dated November 14, 2006 (incorporated by reference to Exhibit 10.1 to the registrant’s Current Report on Form 8-K filed on</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November 16, 2006).</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Common Stock Purchase Agreement by and among Corcept Therapeutics Incorporated and each of those persons and entities listed on the</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9"/>
              </w:rPr>
              <w:t>Schedule of Purchasers thereto, dated as of March 30, 2007 (incorporated by reference to Exhibit 10.1 to the registrant’s Current Report on</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8-K filed on April 3, 2007).</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Severance and Change in Control Agreement by and between Corcept Therapeutics Incorporated and Joseph K. Belanoff, M. D., dated July</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7"/>
              </w:rPr>
              <w:t>24, 2007 (incorporated by reference to Exhibit 10.2 to the registrant’s Quarterly Report on Form 10-Q filed on August 14, 2007).</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9"/>
              </w:rPr>
              <w:t>Severance and Change in Control Agreement by and between Corcept Therapeutics Incorporated and Robert L. Roe, M. D., dated July 24,</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2007 (incorporated by reference to Exhibit 10.3 to the registrant’s Quarterly Report on Form 10-Q filed on August 14, 2007).</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Severance and Change in Control Agreement by and between Corcept Therapeutics Incorporated and Anne M. LeDoux, dated July 24, 2007</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10.4 to the registrant’s Quarterly Report on Form 10-Q filed on August 14, 2007).</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Severance and Change in Control Agreement by and between Corcept Therapeutics Incorporated and James N. Wilson, dated July 24, 2007</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10.5 to the registrant’s Quarterly Report on Form 10-Q filed on August 14, 2007).</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Common Stock Purchase Agreement by and among Corcept Therapeutics Incorporated and each of those persons and entities listed on the</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Schedule of Purchasers thereto, dated as of August 16, 2007 (incorporated by reference to Exhibit 10.1 to the registrants Current Report on</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8-K filed on August 21, 2007).</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0"/>
              </w:rPr>
              <w:t>Form of Indemnification Agreement for directors and officers approved by the Board of Directors on September 24, 2007 (incorporated by</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reference to Exhibit 10.7 to the registrant’s Quarterly Report on Form 10-Q filed on November 14, 2007).</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Securities Purchase Agreement by and among Corcept Therapeutics Incorporated and the purchasers named therein, dated March 14, 2008</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10.24 to the registrant’s Annual Report on Form 10-K filed on March 31,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Registration Rights Agreement by and among Corcept Therapeutics Incorporated and the investors signatory thereto, dated March 14, 2008</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10.25 to the registrant’s Annual Report on Form 10-K filed on March 31,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10.20</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0"/>
              </w:rPr>
              <w:t>Form of Warrant issued in connection with the Securities Purchase Agreement by and among Corcept Therapeutics Incorporated and the</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0"/>
              </w:rPr>
              <w:t>purchasers named therein, dated March 14, 2008 (incorporated by reference to Exhibit 4.4 to the registrant’s Annual Report on Form 10-K</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filed on March 31,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8"/>
              </w:rPr>
              <w:t>Common Stock Purchase Agreement by and between Kingsbridge Capital Limited and Corcept Therapeutics Incorporated dated as of March</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9"/>
              </w:rPr>
              <w:t>25, 2008 (incorporated by reference to Exhibit 10.26 to the registrant’s Annual Report on Form 10-K filed on March 31,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1"/>
              </w:rPr>
              <w:t>Warrant, dated March 25, 2008 issued to Kingsbridge Capital Limited (incorporated by reference to Exhibit 4.5 to the registrant’s Annual</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Report on Form 10-K filed on March 31, 2008).</w:t>
            </w: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40" w:type="dxa"/>
            <w:vAlign w:val="bottom"/>
            <w:gridSpan w:val="2"/>
          </w:tcPr>
          <w:p>
            <w:pPr>
              <w:ind w:left="4980"/>
              <w:spacing w:after="0"/>
              <w:rPr>
                <w:sz w:val="20"/>
                <w:szCs w:val="20"/>
                <w:color w:val="auto"/>
              </w:rPr>
            </w:pPr>
            <w:r>
              <w:rPr>
                <w:rFonts w:ascii="Arial" w:cs="Arial" w:eastAsia="Arial" w:hAnsi="Arial"/>
                <w:sz w:val="18"/>
                <w:szCs w:val="18"/>
                <w:color w:val="auto"/>
              </w:rPr>
              <w:t>82</w:t>
            </w:r>
          </w:p>
        </w:tc>
        <w:tc>
          <w:tcPr>
            <w:tcW w:w="39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4820" w:type="dxa"/>
            <w:vAlign w:val="bottom"/>
          </w:tcPr>
          <w:p>
            <w:pPr>
              <w:spacing w:after="0"/>
              <w:rPr>
                <w:sz w:val="19"/>
                <w:szCs w:val="19"/>
                <w:color w:val="auto"/>
              </w:rPr>
            </w:pP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Description of Document</w:t>
            </w:r>
          </w:p>
        </w:tc>
        <w:tc>
          <w:tcPr>
            <w:tcW w:w="39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line="203" w:lineRule="exact"/>
              <w:rPr>
                <w:sz w:val="20"/>
                <w:szCs w:val="20"/>
                <w:color w:val="auto"/>
              </w:rPr>
            </w:pPr>
            <w:r>
              <w:rPr>
                <w:rFonts w:ascii="Arial" w:cs="Arial" w:eastAsia="Arial" w:hAnsi="Arial"/>
                <w:sz w:val="18"/>
                <w:szCs w:val="18"/>
                <w:color w:val="auto"/>
              </w:rPr>
              <w:t>10.23</w:t>
            </w:r>
          </w:p>
        </w:tc>
        <w:tc>
          <w:tcPr>
            <w:tcW w:w="4820" w:type="dxa"/>
            <w:vAlign w:val="bottom"/>
          </w:tcPr>
          <w:p>
            <w:pPr>
              <w:ind w:left="780"/>
              <w:spacing w:after="0" w:line="203" w:lineRule="exact"/>
              <w:rPr>
                <w:sz w:val="20"/>
                <w:szCs w:val="20"/>
                <w:color w:val="auto"/>
              </w:rPr>
            </w:pPr>
            <w:r>
              <w:rPr>
                <w:rFonts w:ascii="Arial" w:cs="Arial" w:eastAsia="Arial" w:hAnsi="Arial"/>
                <w:sz w:val="18"/>
                <w:szCs w:val="18"/>
                <w:color w:val="auto"/>
                <w:w w:val="90"/>
              </w:rPr>
              <w:t>Registration Rights Agreement by and between Corcept</w:t>
            </w:r>
          </w:p>
        </w:tc>
        <w:tc>
          <w:tcPr>
            <w:tcW w:w="5840" w:type="dxa"/>
            <w:vAlign w:val="bottom"/>
            <w:gridSpan w:val="2"/>
          </w:tcPr>
          <w:p>
            <w:pPr>
              <w:spacing w:after="0" w:line="203" w:lineRule="exact"/>
              <w:rPr>
                <w:sz w:val="20"/>
                <w:szCs w:val="20"/>
                <w:color w:val="auto"/>
              </w:rPr>
            </w:pPr>
            <w:r>
              <w:rPr>
                <w:rFonts w:ascii="Arial" w:cs="Arial" w:eastAsia="Arial" w:hAnsi="Arial"/>
                <w:sz w:val="18"/>
                <w:szCs w:val="18"/>
                <w:color w:val="auto"/>
                <w:w w:val="89"/>
              </w:rPr>
              <w:t>Therapeutics Incorporated and Kingsbridge Capital Limited, dated as of March 25,</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2008 (incorporated by reference to Exhibit 10.27 to the registrant’s Annual Report on Form 10-K filed on March 31,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Master Service Agreement by and among Corcept Therapeutics Incorporated and ICON Clinical Research, L.P., signed on June 4, 2008</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10.5 to the registrant’s Quarterly Report on Form 10-Q filed on August 14,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10.25*</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Amended and Restated Severance and Change in Control Agreement by and between Corcept Therapeutics Incorporated and Joseph K.</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Belanoff, M. D., dated September 19,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10.26*</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7"/>
              </w:rPr>
              <w:t>Amended and Restated Severance and Change in Control Agreement by and between Corcept Therapeutics Incorporated and Robert L. Roe,</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M. D., dated September 19,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10.27*</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Amended and Restated Severance and Change in Control Agreement by and between Corcept Therapeutics Incorporated and Anne M.</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LeDoux, dated September 19,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10.28*</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Amended and Restated Severance and Change in Control Agreement by and between Corcept Therapeutics Incorporated and James N.</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Wilson, dated September 19, 2008.</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10.29*</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Employment offer letter to Caroline M. Loewy, dated October 21,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10.30</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Amendment to Registration Rights Agreement by and among Corcept Therapeutics Incorporated and the investors signatory thereto, dated</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November 11, 2008.</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Severance and Change in Control Agreement by and between Corcept Therapeutics Incorporated and Caroline M. Loewy, dated November</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20" w:type="dxa"/>
            <w:vAlign w:val="bottom"/>
          </w:tcPr>
          <w:p>
            <w:pPr>
              <w:ind w:left="780"/>
              <w:spacing w:after="0"/>
              <w:rPr>
                <w:sz w:val="20"/>
                <w:szCs w:val="20"/>
                <w:color w:val="auto"/>
              </w:rPr>
            </w:pPr>
            <w:r>
              <w:rPr>
                <w:rFonts w:ascii="Arial" w:cs="Arial" w:eastAsia="Arial" w:hAnsi="Arial"/>
                <w:sz w:val="18"/>
                <w:szCs w:val="18"/>
                <w:color w:val="auto"/>
              </w:rPr>
              <w:t>28, 2008.</w:t>
            </w:r>
          </w:p>
        </w:tc>
        <w:tc>
          <w:tcPr>
            <w:tcW w:w="192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14.1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Code of Ethics (incorporated by reference to Exhibit 99.1 to the registrant’s Registration Statement on Form S-1/A (File No. 333-112676)</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filed on March 19, 2004).</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Power of Attorney (See signature page)</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Certification pursuant to Rule 13a-14(a) under the Securities Exchange Act of 1934 of Joseph K. Belanoff, M.D.</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31.2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Certification pursuant to Rule 13a-14(a) under the Securities Exchange Act of 1934 of Caroline M. Loewy</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32.1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Certification pursuant to 18 U.S.C. Section 1350 of Joseph K. Belanoff, M.D.</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32.2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Certification pursuant to 18 U.S.C. Section 1350 of Caroline M. Loewy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9180" w:firstLine="8"/>
        <w:spacing w:after="0" w:line="268" w:lineRule="auto"/>
        <w:tabs>
          <w:tab w:leader="none" w:pos="338" w:val="left"/>
        </w:tabs>
        <w:numPr>
          <w:ilvl w:val="0"/>
          <w:numId w:val="61"/>
        </w:numPr>
        <w:rPr>
          <w:rFonts w:ascii="Arial" w:cs="Arial" w:eastAsia="Arial" w:hAnsi="Arial"/>
          <w:sz w:val="12"/>
          <w:szCs w:val="12"/>
          <w:color w:val="auto"/>
        </w:rPr>
      </w:pPr>
      <w:r>
        <w:rPr>
          <w:rFonts w:ascii="Arial" w:cs="Arial" w:eastAsia="Arial" w:hAnsi="Arial"/>
          <w:sz w:val="12"/>
          <w:szCs w:val="12"/>
          <w:color w:val="auto"/>
        </w:rPr>
        <w:t>Confidential treatment granted ## Confidential treatment requested</w:t>
      </w:r>
    </w:p>
    <w:p>
      <w:pPr>
        <w:spacing w:after="0"/>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2"/>
          <w:szCs w:val="12"/>
          <w:color w:val="auto"/>
        </w:rPr>
        <w:t>Management contract or compensatory plan or arrangement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00"/>
          </w:cols>
          <w:pgMar w:left="24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CORCEPT THERAPEUTICS INCORPORATED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K. B</w:t>
            </w:r>
            <w:r>
              <w:rPr>
                <w:rFonts w:ascii="Arial" w:cs="Arial" w:eastAsia="Arial" w:hAnsi="Arial"/>
                <w:sz w:val="14"/>
                <w:szCs w:val="14"/>
                <w:color w:val="auto"/>
              </w:rPr>
              <w:t>ELANOFF</w:t>
            </w:r>
          </w:p>
        </w:tc>
      </w:tr>
      <w:tr>
        <w:trPr>
          <w:trHeight w:val="130"/>
        </w:trPr>
        <w:tc>
          <w:tcPr>
            <w:tcW w:w="460" w:type="dxa"/>
            <w:vAlign w:val="bottom"/>
          </w:tcPr>
          <w:p>
            <w:pPr>
              <w:spacing w:after="0"/>
              <w:rPr>
                <w:sz w:val="11"/>
                <w:szCs w:val="11"/>
                <w:color w:val="auto"/>
              </w:rPr>
            </w:pP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Joseph K. Belanoff, M.D.,</w:t>
            </w:r>
          </w:p>
        </w:tc>
      </w:tr>
      <w:tr>
        <w:trPr>
          <w:trHeight w:val="174"/>
        </w:trPr>
        <w:tc>
          <w:tcPr>
            <w:tcW w:w="4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r>
        <w:trPr>
          <w:trHeight w:val="431"/>
        </w:trPr>
        <w:tc>
          <w:tcPr>
            <w:tcW w:w="460" w:type="dxa"/>
            <w:vAlign w:val="bottom"/>
          </w:tcPr>
          <w:p>
            <w:pPr>
              <w:ind w:left="40"/>
              <w:spacing w:after="0"/>
              <w:rPr>
                <w:sz w:val="20"/>
                <w:szCs w:val="20"/>
                <w:color w:val="auto"/>
              </w:rPr>
            </w:pPr>
            <w:r>
              <w:rPr>
                <w:rFonts w:ascii="Arial" w:cs="Arial" w:eastAsia="Arial" w:hAnsi="Arial"/>
                <w:sz w:val="18"/>
                <w:szCs w:val="18"/>
                <w:color w:val="auto"/>
                <w:w w:val="92"/>
              </w:rPr>
              <w:t>Date:</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March 31, 2009</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Joseph K. Belanoff and Caroline M. Loewy, and each of them acting individually, as his true and lawful attorneys-in-fact and agents, each with full power of substitution, for him in any and all capacities, to sign any and all amendments to this report on Form 10-K and to file the same, with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Exchange Act, this Annual Report on Form 10-K has been signed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spacing w:after="0"/>
              <w:rPr>
                <w:sz w:val="14"/>
                <w:szCs w:val="14"/>
                <w:color w:val="auto"/>
              </w:rPr>
            </w:pPr>
          </w:p>
        </w:tc>
        <w:tc>
          <w:tcPr>
            <w:tcW w:w="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OSEPH</w:t>
            </w:r>
            <w:r>
              <w:rPr>
                <w:rFonts w:ascii="Arial" w:cs="Arial" w:eastAsia="Arial" w:hAnsi="Arial"/>
                <w:sz w:val="18"/>
                <w:szCs w:val="18"/>
                <w:color w:val="auto"/>
                <w:w w:val="97"/>
              </w:rPr>
              <w:t xml:space="preserve"> K. B</w:t>
            </w:r>
            <w:r>
              <w:rPr>
                <w:rFonts w:ascii="Arial" w:cs="Arial" w:eastAsia="Arial" w:hAnsi="Arial"/>
                <w:sz w:val="14"/>
                <w:szCs w:val="14"/>
                <w:color w:val="auto"/>
                <w:w w:val="97"/>
              </w:rPr>
              <w:t>ELANOFF</w:t>
            </w:r>
          </w:p>
        </w:tc>
        <w:tc>
          <w:tcPr>
            <w:tcW w:w="480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 (Principal Executive</w:t>
            </w:r>
          </w:p>
        </w:tc>
        <w:tc>
          <w:tcPr>
            <w:tcW w:w="140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March 31, 2009</w:t>
            </w:r>
          </w:p>
        </w:tc>
      </w:tr>
      <w:tr>
        <w:trPr>
          <w:trHeight w:val="202"/>
        </w:trPr>
        <w:tc>
          <w:tcPr>
            <w:tcW w:w="1740" w:type="dxa"/>
            <w:vAlign w:val="bottom"/>
          </w:tcPr>
          <w:p>
            <w:pPr>
              <w:spacing w:after="0"/>
              <w:rPr>
                <w:sz w:val="17"/>
                <w:szCs w:val="17"/>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7"/>
              </w:rPr>
              <w:t>Joseph K. Belanoff, M.D.</w:t>
            </w:r>
          </w:p>
        </w:tc>
        <w:tc>
          <w:tcPr>
            <w:tcW w:w="48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Officer)</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AROLINE</w:t>
            </w:r>
            <w:r>
              <w:rPr>
                <w:rFonts w:ascii="Arial" w:cs="Arial" w:eastAsia="Arial" w:hAnsi="Arial"/>
                <w:sz w:val="18"/>
                <w:szCs w:val="18"/>
                <w:color w:val="auto"/>
              </w:rPr>
              <w:t xml:space="preserve"> M. L</w:t>
            </w:r>
            <w:r>
              <w:rPr>
                <w:rFonts w:ascii="Arial" w:cs="Arial" w:eastAsia="Arial" w:hAnsi="Arial"/>
                <w:sz w:val="14"/>
                <w:szCs w:val="14"/>
                <w:color w:val="auto"/>
              </w:rPr>
              <w:t>OEWY</w:t>
            </w:r>
          </w:p>
        </w:tc>
        <w:tc>
          <w:tcPr>
            <w:tcW w:w="48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(Principal Financial Officer)</w:t>
            </w:r>
          </w:p>
        </w:tc>
        <w:tc>
          <w:tcPr>
            <w:tcW w:w="140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March 31,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Caroline M. Loewy</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M. L</w:t>
            </w:r>
            <w:r>
              <w:rPr>
                <w:rFonts w:ascii="Arial" w:cs="Arial" w:eastAsia="Arial" w:hAnsi="Arial"/>
                <w:sz w:val="14"/>
                <w:szCs w:val="14"/>
                <w:color w:val="auto"/>
              </w:rPr>
              <w:t>EDOUX</w:t>
            </w:r>
          </w:p>
        </w:tc>
        <w:tc>
          <w:tcPr>
            <w:tcW w:w="4800" w:type="dxa"/>
            <w:vAlign w:val="bottom"/>
            <w:gridSpan w:val="3"/>
          </w:tcPr>
          <w:p>
            <w:pPr>
              <w:ind w:left="220"/>
              <w:spacing w:after="0"/>
              <w:rPr>
                <w:sz w:val="20"/>
                <w:szCs w:val="20"/>
                <w:color w:val="auto"/>
              </w:rPr>
            </w:pPr>
            <w:r>
              <w:rPr>
                <w:rFonts w:ascii="Arial" w:cs="Arial" w:eastAsia="Arial" w:hAnsi="Arial"/>
                <w:sz w:val="18"/>
                <w:szCs w:val="18"/>
                <w:color w:val="auto"/>
                <w:w w:val="96"/>
              </w:rPr>
              <w:t>Vice President and Controller (Principal Accounting Officer)</w:t>
            </w:r>
          </w:p>
        </w:tc>
        <w:tc>
          <w:tcPr>
            <w:tcW w:w="140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March 31,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Anne M. LeDoux</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N. W</w:t>
            </w:r>
            <w:r>
              <w:rPr>
                <w:rFonts w:ascii="Arial" w:cs="Arial" w:eastAsia="Arial" w:hAnsi="Arial"/>
                <w:sz w:val="14"/>
                <w:szCs w:val="14"/>
                <w:color w:val="auto"/>
                <w:w w:val="98"/>
              </w:rPr>
              <w:t>ILSON</w:t>
            </w:r>
          </w:p>
        </w:tc>
        <w:tc>
          <w:tcPr>
            <w:tcW w:w="4800" w:type="dxa"/>
            <w:vAlign w:val="bottom"/>
            <w:gridSpan w:val="3"/>
          </w:tcPr>
          <w:p>
            <w:pPr>
              <w:ind w:left="220"/>
              <w:spacing w:after="0"/>
              <w:rPr>
                <w:sz w:val="20"/>
                <w:szCs w:val="20"/>
                <w:color w:val="auto"/>
              </w:rPr>
            </w:pPr>
            <w:r>
              <w:rPr>
                <w:rFonts w:ascii="Arial" w:cs="Arial" w:eastAsia="Arial" w:hAnsi="Arial"/>
                <w:sz w:val="18"/>
                <w:szCs w:val="18"/>
                <w:color w:val="auto"/>
              </w:rPr>
              <w:t>Director and Chairman of the Board of Directors</w:t>
            </w:r>
          </w:p>
        </w:tc>
        <w:tc>
          <w:tcPr>
            <w:tcW w:w="140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March 31,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6"/>
              </w:rPr>
              <w:t>James N. Wilson</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LLEN</w:t>
            </w:r>
            <w:r>
              <w:rPr>
                <w:rFonts w:ascii="Arial" w:cs="Arial" w:eastAsia="Arial" w:hAnsi="Arial"/>
                <w:sz w:val="18"/>
                <w:szCs w:val="18"/>
                <w:color w:val="auto"/>
              </w:rPr>
              <w:t xml:space="preserve"> A</w:t>
            </w:r>
            <w:r>
              <w:rPr>
                <w:rFonts w:ascii="Arial" w:cs="Arial" w:eastAsia="Arial" w:hAnsi="Arial"/>
                <w:sz w:val="14"/>
                <w:szCs w:val="14"/>
                <w:color w:val="auto"/>
              </w:rPr>
              <w:t>NDERSSON</w:t>
            </w:r>
          </w:p>
        </w:tc>
        <w:tc>
          <w:tcPr>
            <w:tcW w:w="48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March 31,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6"/>
              </w:rPr>
              <w:t>Allen Andersson</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4"/>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 L</w:t>
            </w:r>
            <w:r>
              <w:rPr>
                <w:rFonts w:ascii="Arial" w:cs="Arial" w:eastAsia="Arial" w:hAnsi="Arial"/>
                <w:sz w:val="14"/>
                <w:szCs w:val="14"/>
                <w:color w:val="auto"/>
              </w:rPr>
              <w:t>EONARD</w:t>
            </w:r>
            <w:r>
              <w:rPr>
                <w:rFonts w:ascii="Arial" w:cs="Arial" w:eastAsia="Arial" w:hAnsi="Arial"/>
                <w:sz w:val="18"/>
                <w:szCs w:val="18"/>
                <w:color w:val="auto"/>
              </w:rPr>
              <w:t xml:space="preserve"> B</w:t>
            </w:r>
            <w:r>
              <w:rPr>
                <w:rFonts w:ascii="Arial" w:cs="Arial" w:eastAsia="Arial" w:hAnsi="Arial"/>
                <w:sz w:val="14"/>
                <w:szCs w:val="14"/>
                <w:color w:val="auto"/>
              </w:rPr>
              <w:t>AKER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48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March 31,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7"/>
              </w:rPr>
              <w:t>G. Leonard Baker, Jr.</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2"/>
              </w:rPr>
              <w:t>J</w:t>
            </w:r>
            <w:r>
              <w:rPr>
                <w:rFonts w:ascii="Arial" w:cs="Arial" w:eastAsia="Arial" w:hAnsi="Arial"/>
                <w:sz w:val="14"/>
                <w:szCs w:val="14"/>
                <w:color w:val="auto"/>
                <w:w w:val="92"/>
              </w:rPr>
              <w:t>OSEPH</w:t>
            </w:r>
            <w:r>
              <w:rPr>
                <w:rFonts w:ascii="Arial" w:cs="Arial" w:eastAsia="Arial" w:hAnsi="Arial"/>
                <w:sz w:val="18"/>
                <w:szCs w:val="18"/>
                <w:color w:val="auto"/>
                <w:w w:val="92"/>
              </w:rPr>
              <w:t xml:space="preserve"> C. C</w:t>
            </w:r>
            <w:r>
              <w:rPr>
                <w:rFonts w:ascii="Arial" w:cs="Arial" w:eastAsia="Arial" w:hAnsi="Arial"/>
                <w:sz w:val="14"/>
                <w:szCs w:val="14"/>
                <w:color w:val="auto"/>
                <w:w w:val="92"/>
              </w:rPr>
              <w:t>OOK</w:t>
            </w:r>
            <w:r>
              <w:rPr>
                <w:rFonts w:ascii="Arial" w:cs="Arial" w:eastAsia="Arial" w:hAnsi="Arial"/>
                <w:sz w:val="18"/>
                <w:szCs w:val="18"/>
                <w:color w:val="auto"/>
                <w:w w:val="92"/>
              </w:rPr>
              <w:t>, J</w:t>
            </w:r>
            <w:r>
              <w:rPr>
                <w:rFonts w:ascii="Arial" w:cs="Arial" w:eastAsia="Arial" w:hAnsi="Arial"/>
                <w:sz w:val="14"/>
                <w:szCs w:val="14"/>
                <w:color w:val="auto"/>
                <w:w w:val="92"/>
              </w:rPr>
              <w:t>R</w:t>
            </w:r>
            <w:r>
              <w:rPr>
                <w:rFonts w:ascii="Arial" w:cs="Arial" w:eastAsia="Arial" w:hAnsi="Arial"/>
                <w:sz w:val="18"/>
                <w:szCs w:val="18"/>
                <w:color w:val="auto"/>
                <w:w w:val="92"/>
              </w:rPr>
              <w:t>.</w:t>
            </w:r>
          </w:p>
        </w:tc>
        <w:tc>
          <w:tcPr>
            <w:tcW w:w="48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March 31,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5"/>
              </w:rPr>
              <w:t>Joseph C. Cook, Jr.</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ATRICK</w:t>
            </w:r>
            <w:r>
              <w:rPr>
                <w:rFonts w:ascii="Arial" w:cs="Arial" w:eastAsia="Arial" w:hAnsi="Arial"/>
                <w:sz w:val="18"/>
                <w:szCs w:val="18"/>
                <w:color w:val="auto"/>
                <w:w w:val="97"/>
              </w:rPr>
              <w:t xml:space="preserve"> G. E</w:t>
            </w:r>
            <w:r>
              <w:rPr>
                <w:rFonts w:ascii="Arial" w:cs="Arial" w:eastAsia="Arial" w:hAnsi="Arial"/>
                <w:sz w:val="14"/>
                <w:szCs w:val="14"/>
                <w:color w:val="auto"/>
                <w:w w:val="97"/>
              </w:rPr>
              <w:t>NRIGHT</w:t>
            </w:r>
          </w:p>
        </w:tc>
        <w:tc>
          <w:tcPr>
            <w:tcW w:w="48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March 31,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Patrick G. Enright</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20" w:type="dxa"/>
            <w:vAlign w:val="bottom"/>
          </w:tcPr>
          <w:p>
            <w:pPr>
              <w:ind w:left="58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Title</w:t>
            </w:r>
          </w:p>
        </w:tc>
        <w:tc>
          <w:tcPr>
            <w:tcW w:w="29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20" w:type="dxa"/>
            <w:vAlign w:val="bottom"/>
          </w:tcPr>
          <w:p>
            <w:pPr>
              <w:spacing w:after="0"/>
              <w:rPr>
                <w:sz w:val="14"/>
                <w:szCs w:val="14"/>
                <w:color w:val="auto"/>
              </w:rPr>
            </w:pPr>
          </w:p>
        </w:tc>
      </w:tr>
      <w:tr>
        <w:trPr>
          <w:trHeight w:val="425"/>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32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A. H</w:t>
            </w:r>
            <w:r>
              <w:rPr>
                <w:rFonts w:ascii="Arial" w:cs="Arial" w:eastAsia="Arial" w:hAnsi="Arial"/>
                <w:sz w:val="14"/>
                <w:szCs w:val="14"/>
                <w:color w:val="auto"/>
                <w:w w:val="97"/>
              </w:rPr>
              <w:t>ARPER</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412"/>
              <w:spacing w:after="0"/>
              <w:rPr>
                <w:sz w:val="20"/>
                <w:szCs w:val="20"/>
                <w:color w:val="auto"/>
              </w:rPr>
            </w:pPr>
            <w:r>
              <w:rPr>
                <w:rFonts w:ascii="Arial" w:cs="Arial" w:eastAsia="Arial" w:hAnsi="Arial"/>
                <w:sz w:val="18"/>
                <w:szCs w:val="18"/>
                <w:color w:val="auto"/>
                <w:w w:val="89"/>
              </w:rPr>
              <w:t>March 31, 2009</w:t>
            </w:r>
          </w:p>
        </w:tc>
      </w:tr>
      <w:tr>
        <w:trPr>
          <w:trHeight w:val="169"/>
        </w:trPr>
        <w:tc>
          <w:tcPr>
            <w:tcW w:w="17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James A. Harper</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L. M</w:t>
            </w:r>
            <w:r>
              <w:rPr>
                <w:rFonts w:ascii="Arial" w:cs="Arial" w:eastAsia="Arial" w:hAnsi="Arial"/>
                <w:sz w:val="14"/>
                <w:szCs w:val="14"/>
                <w:color w:val="auto"/>
              </w:rPr>
              <w:t>AHONEY</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412"/>
              <w:spacing w:after="0"/>
              <w:rPr>
                <w:sz w:val="20"/>
                <w:szCs w:val="20"/>
                <w:color w:val="auto"/>
              </w:rPr>
            </w:pPr>
            <w:r>
              <w:rPr>
                <w:rFonts w:ascii="Arial" w:cs="Arial" w:eastAsia="Arial" w:hAnsi="Arial"/>
                <w:sz w:val="18"/>
                <w:szCs w:val="18"/>
                <w:color w:val="auto"/>
                <w:w w:val="89"/>
              </w:rPr>
              <w:t>March 31, 2009</w:t>
            </w:r>
          </w:p>
        </w:tc>
      </w:tr>
      <w:tr>
        <w:trPr>
          <w:trHeight w:val="169"/>
        </w:trPr>
        <w:tc>
          <w:tcPr>
            <w:tcW w:w="17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David L. Mahoney</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DWARD</w:t>
            </w:r>
            <w:r>
              <w:rPr>
                <w:rFonts w:ascii="Arial" w:cs="Arial" w:eastAsia="Arial" w:hAnsi="Arial"/>
                <w:sz w:val="18"/>
                <w:szCs w:val="18"/>
                <w:color w:val="auto"/>
                <w:w w:val="96"/>
              </w:rPr>
              <w:t xml:space="preserve"> E. P</w:t>
            </w:r>
            <w:r>
              <w:rPr>
                <w:rFonts w:ascii="Arial" w:cs="Arial" w:eastAsia="Arial" w:hAnsi="Arial"/>
                <w:sz w:val="14"/>
                <w:szCs w:val="14"/>
                <w:color w:val="auto"/>
                <w:w w:val="96"/>
              </w:rPr>
              <w:t>ENHOET</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412"/>
              <w:spacing w:after="0"/>
              <w:rPr>
                <w:sz w:val="20"/>
                <w:szCs w:val="20"/>
                <w:color w:val="auto"/>
              </w:rPr>
            </w:pPr>
            <w:r>
              <w:rPr>
                <w:rFonts w:ascii="Arial" w:cs="Arial" w:eastAsia="Arial" w:hAnsi="Arial"/>
                <w:sz w:val="18"/>
                <w:szCs w:val="18"/>
                <w:color w:val="auto"/>
                <w:w w:val="89"/>
              </w:rPr>
              <w:t>March 31, 2009</w:t>
            </w:r>
          </w:p>
        </w:tc>
      </w:tr>
      <w:tr>
        <w:trPr>
          <w:trHeight w:val="169"/>
        </w:trPr>
        <w:tc>
          <w:tcPr>
            <w:tcW w:w="17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Edward E. Penhoet, Ph. D.</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20" w:type="dxa"/>
            <w:vAlign w:val="bottom"/>
          </w:tcPr>
          <w:p>
            <w:pPr>
              <w:jc w:val="right"/>
              <w:ind w:right="1472"/>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INDEX TO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8"/>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Audited Financial Statements</w:t>
            </w:r>
          </w:p>
        </w:tc>
        <w:tc>
          <w:tcPr>
            <w:tcW w:w="68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500" w:type="dxa"/>
            <w:vAlign w:val="bottom"/>
            <w:gridSpan w:val="7"/>
          </w:tcPr>
          <w:p>
            <w:pPr>
              <w:spacing w:after="0" w:line="184" w:lineRule="exact"/>
              <w:rPr>
                <w:rFonts w:ascii="Arial" w:cs="Arial" w:eastAsia="Arial" w:hAnsi="Arial"/>
                <w:sz w:val="18"/>
                <w:szCs w:val="18"/>
                <w:color w:val="0000EE"/>
              </w:rPr>
            </w:pPr>
            <w:hyperlink w:anchor="page90">
              <w:r>
                <w:rPr>
                  <w:rFonts w:ascii="Arial" w:cs="Arial" w:eastAsia="Arial" w:hAnsi="Arial"/>
                  <w:sz w:val="18"/>
                  <w:szCs w:val="18"/>
                  <w:color w:val="0000EE"/>
                </w:rPr>
                <w:t>Balance Sheets</w:t>
              </w:r>
            </w:hyperlink>
          </w:p>
        </w:tc>
        <w:tc>
          <w:tcPr>
            <w:tcW w:w="5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91">
              <w:r>
                <w:rPr>
                  <w:rFonts w:ascii="Arial" w:cs="Arial" w:eastAsia="Arial" w:hAnsi="Arial"/>
                  <w:sz w:val="18"/>
                  <w:szCs w:val="18"/>
                  <w:color w:val="0000EE"/>
                  <w:w w:val="86"/>
                </w:rPr>
                <w:t>Statements of Operations</w:t>
              </w:r>
            </w:hyperlink>
          </w:p>
        </w:tc>
        <w:tc>
          <w:tcPr>
            <w:tcW w:w="872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Statement of Convertible Preferred Stock and Stockholders’ Equity (Net Capital Deficiency)</w:t>
              </w:r>
            </w:hyperlink>
          </w:p>
        </w:tc>
        <w:tc>
          <w:tcPr>
            <w:tcW w:w="398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Statements of Cash Flows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Notes to Financial Statements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6820" w:type="dxa"/>
            <w:vAlign w:val="bottom"/>
            <w:gridSpan w:val="2"/>
          </w:tcPr>
          <w:p>
            <w:pPr>
              <w:ind w:left="148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2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Corcept Therapeutics Incorporated</w:t>
      </w:r>
    </w:p>
    <w:p>
      <w:pPr>
        <w:spacing w:after="0" w:line="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balance sheets of Corcept Therapeutics Incorporated (a development stage company) as of December 31, 2008 and 2007, and the related statements of operations, convertible preferred stock and stockholders’ equity (net capital deficiency), and cash flows for each of the three years in the period ended December 31, 2008, and for the period from inception (May 13, 1998) to December 31, 2008.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financial position of Corcept Therapeutics Incorporated (a development stage company) at December 31, 2008 and 2007 and the results of its operations and its cash flows for each of the three years in the period ended December 31, 2008 and for the period from inception (May 13, 1998) to December 31, 2008, in conformity with U.S. generally accepted accounting principles.</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2009</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19,579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1,304</w:t>
            </w:r>
          </w:p>
        </w:tc>
        <w:tc>
          <w:tcPr>
            <w:tcW w:w="3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clinical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 short-term</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Obligations under capital lease, long-term</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w w:val="93"/>
              </w:rPr>
              <w:t>Preferred stock, $0.001 par value, 10,000 shares authorized and no shares outstanding at December 31, 2008 or 2007</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140,000 shares authorized and 49,763 and 39,548 shares issued and outstanding at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2008 and 2007, 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153,031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 from stockholders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(130,072)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(110,011)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19,775</w:t>
            </w:r>
          </w:p>
        </w:tc>
        <w:tc>
          <w:tcPr>
            <w:tcW w:w="3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86"/>
              </w:rPr>
              <w:t>Year ended December 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inception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1"/>
              </w:rPr>
              <w:t>(May 13, 1998)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to 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2006</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14,152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20,834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19,898</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12,727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25,876</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672"/>
              <w:spacing w:after="0"/>
              <w:rPr>
                <w:sz w:val="20"/>
                <w:szCs w:val="20"/>
                <w:color w:val="auto"/>
              </w:rPr>
            </w:pPr>
            <w:r>
              <w:rPr>
                <w:rFonts w:ascii="Arial" w:cs="Arial" w:eastAsia="Arial" w:hAnsi="Arial"/>
                <w:sz w:val="18"/>
                <w:szCs w:val="18"/>
                <w:color w:val="auto"/>
                <w:w w:val="89"/>
              </w:rPr>
              <w:t>(19,689)</w:t>
            </w: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(12,245)</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(25,582)</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(133,709)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expense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72"/>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w w:val="89"/>
              </w:rPr>
              <w:t>(20,061)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(24,873)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(130,072)</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gridSpan w:val="2"/>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72"/>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46,721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34,251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22,841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non-cash stock-based compensation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535</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non-cash stock-based compensation</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1,548</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CONVERTIBLE PREFERRED STOCK AND STOCKHOLDERS’ EQUITY (NET CAPITAL DEFICIENCY)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8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80" w:type="dxa"/>
            <w:vAlign w:val="bottom"/>
            <w:tcBorders>
              <w:bottom w:val="single" w:sz="8" w:color="auto"/>
            </w:tcBorders>
            <w:gridSpan w:val="3"/>
          </w:tcPr>
          <w:p>
            <w:pPr>
              <w:ind w:left="20"/>
              <w:spacing w:after="0" w:line="115" w:lineRule="exact"/>
              <w:rPr>
                <w:sz w:val="20"/>
                <w:szCs w:val="20"/>
                <w:color w:val="auto"/>
              </w:rPr>
            </w:pPr>
            <w:r>
              <w:rPr>
                <w:rFonts w:ascii="Arial" w:cs="Arial" w:eastAsia="Arial" w:hAnsi="Arial"/>
                <w:sz w:val="12"/>
                <w:szCs w:val="12"/>
                <w:b w:val="1"/>
                <w:bCs w:val="1"/>
                <w:color w:val="auto"/>
              </w:rPr>
              <w:t>Preferred Stock</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auto"/>
            </w:tcBorders>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Receivable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5"/>
              </w:rPr>
              <w:t>During the</w:t>
            </w:r>
          </w:p>
        </w:tc>
        <w:tc>
          <w:tcPr>
            <w:tcW w:w="1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9"/>
              </w:rPr>
              <w:t>Comprehensive</w:t>
            </w:r>
          </w:p>
        </w:tc>
        <w:tc>
          <w:tcPr>
            <w:tcW w:w="100" w:type="dxa"/>
            <w:vAlign w:val="bottom"/>
          </w:tcPr>
          <w:p>
            <w:pPr>
              <w:spacing w:after="0"/>
              <w:rPr>
                <w:sz w:val="11"/>
                <w:szCs w:val="11"/>
                <w:color w:val="auto"/>
              </w:rPr>
            </w:pPr>
          </w:p>
        </w:tc>
        <w:tc>
          <w:tcPr>
            <w:tcW w:w="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7"/>
              </w:rPr>
              <w:t>Equity (Net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13"/>
                <w:szCs w:val="13"/>
                <w:color w:val="auto"/>
              </w:rPr>
            </w:pPr>
          </w:p>
        </w:tc>
        <w:tc>
          <w:tcPr>
            <w:tcW w:w="88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w w:val="93"/>
              </w:rPr>
              <w:t>Deferred</w:t>
            </w:r>
          </w:p>
        </w:tc>
        <w:tc>
          <w:tcPr>
            <w:tcW w:w="88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4"/>
              </w:rPr>
              <w:t>Development</w:t>
            </w:r>
          </w:p>
        </w:tc>
        <w:tc>
          <w:tcPr>
            <w:tcW w:w="120" w:type="dxa"/>
            <w:vAlign w:val="bottom"/>
          </w:tcPr>
          <w:p>
            <w:pPr>
              <w:spacing w:after="0"/>
              <w:rPr>
                <w:sz w:val="13"/>
                <w:szCs w:val="13"/>
                <w:color w:val="auto"/>
              </w:rPr>
            </w:pPr>
          </w:p>
        </w:tc>
        <w:tc>
          <w:tcPr>
            <w:tcW w:w="8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6"/>
              </w:rPr>
              <w:t>Shares</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Stockholders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78"/>
              </w:rPr>
              <w:t>Stage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(Loss)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Deficiency)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inception (May 13, 1998)</w:t>
            </w: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   —</w:t>
            </w: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w w:val="96"/>
              </w:rPr>
              <w:t>Issuance of common stock to directors for cash in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June and July 1998</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7,500</w:t>
            </w:r>
          </w:p>
        </w:tc>
        <w:tc>
          <w:tcPr>
            <w:tcW w:w="100" w:type="dxa"/>
            <w:vAlign w:val="bottom"/>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Issuance of common stock to a director for cash in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May 1999</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w w:val="91"/>
              </w:rPr>
              <w:t>Issuance of common stock to Stanford and directors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640"/>
              <w:spacing w:after="0" w:line="149" w:lineRule="exact"/>
              <w:rPr>
                <w:sz w:val="20"/>
                <w:szCs w:val="20"/>
                <w:color w:val="auto"/>
              </w:rPr>
            </w:pPr>
            <w:r>
              <w:rPr>
                <w:rFonts w:ascii="Arial" w:cs="Arial" w:eastAsia="Arial" w:hAnsi="Arial"/>
                <w:sz w:val="14"/>
                <w:szCs w:val="14"/>
                <w:color w:val="auto"/>
              </w:rPr>
              <w:t>in conjunction with a license agreement in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October 1999</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Issuance of Series A convertible preferred stock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institutional and individual investors at $1.08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per share for cash and conversion of notes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9"/>
              </w:rPr>
              <w:t>payable, net of issuance costs of $34 in May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1999</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w w:val="76"/>
              </w:rPr>
              <w:t>608</w:t>
            </w:r>
          </w:p>
        </w:tc>
        <w:tc>
          <w:tcPr>
            <w:tcW w:w="60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w w:val="76"/>
              </w:rPr>
              <w:t>623</w:t>
            </w:r>
          </w:p>
        </w:tc>
        <w:tc>
          <w:tcPr>
            <w:tcW w:w="2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w w:val="93"/>
              </w:rPr>
              <w:t>Common stock issued to attorneys and consultants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in exchange for services in May 1999</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Issuance of common stock upon option exercise</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w w:val="98"/>
              </w:rPr>
              <w:t>Repurchase of common stock held by director in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March 1999</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3"/>
                <w:szCs w:val="13"/>
                <w:color w:val="auto"/>
              </w:rPr>
            </w:pPr>
          </w:p>
        </w:tc>
        <w:tc>
          <w:tcPr>
            <w:tcW w:w="6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(750)</w:t>
            </w:r>
          </w:p>
        </w:tc>
        <w:tc>
          <w:tcPr>
            <w:tcW w:w="70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1"/>
              </w:rPr>
              <w:t>Deferred compensation related to options granted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non-employees</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 from inception to December 31, 1999</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(321)</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1999</w:t>
            </w: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gridSpan w:val="2"/>
            <w:vMerge w:val="continue"/>
          </w:tcPr>
          <w:p>
            <w:pPr>
              <w:spacing w:after="0"/>
              <w:rPr>
                <w:sz w:val="13"/>
                <w:szCs w:val="13"/>
                <w:color w:val="auto"/>
              </w:rPr>
            </w:pPr>
          </w:p>
        </w:tc>
        <w:tc>
          <w:tcPr>
            <w:tcW w:w="380" w:type="dxa"/>
            <w:vAlign w:val="bottom"/>
          </w:tcPr>
          <w:p>
            <w:pPr>
              <w:ind w:left="180"/>
              <w:spacing w:after="0" w:line="155" w:lineRule="exact"/>
              <w:rPr>
                <w:sz w:val="20"/>
                <w:szCs w:val="20"/>
                <w:color w:val="auto"/>
              </w:rPr>
            </w:pPr>
            <w:r>
              <w:rPr>
                <w:rFonts w:ascii="Arial" w:cs="Arial" w:eastAsia="Arial" w:hAnsi="Arial"/>
                <w:sz w:val="14"/>
                <w:szCs w:val="14"/>
                <w:color w:val="auto"/>
                <w:w w:val="76"/>
              </w:rPr>
              <w:t>608</w:t>
            </w:r>
          </w:p>
        </w:tc>
        <w:tc>
          <w:tcPr>
            <w:tcW w:w="120" w:type="dxa"/>
            <w:vAlign w:val="bottom"/>
          </w:tcPr>
          <w:p>
            <w:pPr>
              <w:spacing w:after="0"/>
              <w:rPr>
                <w:sz w:val="13"/>
                <w:szCs w:val="13"/>
                <w:color w:val="auto"/>
              </w:rPr>
            </w:pPr>
          </w:p>
        </w:tc>
        <w:tc>
          <w:tcPr>
            <w:tcW w:w="480" w:type="dxa"/>
            <w:vAlign w:val="bottom"/>
          </w:tcPr>
          <w:p>
            <w:pPr>
              <w:ind w:left="280"/>
              <w:spacing w:after="0" w:line="155" w:lineRule="exact"/>
              <w:rPr>
                <w:sz w:val="20"/>
                <w:szCs w:val="20"/>
                <w:color w:val="auto"/>
              </w:rPr>
            </w:pPr>
            <w:r>
              <w:rPr>
                <w:rFonts w:ascii="Arial" w:cs="Arial" w:eastAsia="Arial" w:hAnsi="Arial"/>
                <w:sz w:val="14"/>
                <w:szCs w:val="14"/>
                <w:color w:val="auto"/>
                <w:w w:val="76"/>
              </w:rPr>
              <w:t>623</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8,660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126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3"/>
                <w:szCs w:val="13"/>
                <w:color w:val="auto"/>
              </w:rPr>
            </w:pP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(321)</w:t>
            </w: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Issuance of Series B convertible preferred stock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institutional and individual investors at $3.00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3"/>
              </w:rPr>
              <w:t>per share for cash, net of issuance costs of $19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 January 2000</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w w:val="76"/>
              </w:rPr>
              <w:t>400</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1,180</w:t>
            </w:r>
          </w:p>
        </w:tc>
        <w:tc>
          <w:tcPr>
            <w:tcW w:w="2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w w:val="91"/>
              </w:rPr>
              <w:t>Deferred compensation related to options granted to</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an employee and non-employees</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248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(248)</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(1,846)</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(2,167)</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w w:val="94"/>
              </w:rPr>
              <w:t>Issuance of Series B convertible preferred stock to</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640"/>
              <w:spacing w:after="0" w:line="149" w:lineRule="exact"/>
              <w:rPr>
                <w:sz w:val="20"/>
                <w:szCs w:val="20"/>
                <w:color w:val="auto"/>
              </w:rPr>
            </w:pPr>
            <w:r>
              <w:rPr>
                <w:rFonts w:ascii="Arial" w:cs="Arial" w:eastAsia="Arial" w:hAnsi="Arial"/>
                <w:sz w:val="14"/>
                <w:szCs w:val="14"/>
                <w:color w:val="auto"/>
                <w:w w:val="93"/>
              </w:rPr>
              <w:t>consultants in exchange for services in January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and April 2001</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600" w:type="dxa"/>
            <w:vAlign w:val="bottom"/>
            <w:gridSpan w:val="2"/>
          </w:tcPr>
          <w:p>
            <w:pPr>
              <w:ind w:left="400"/>
              <w:spacing w:after="0" w:line="159" w:lineRule="exact"/>
              <w:rPr>
                <w:sz w:val="20"/>
                <w:szCs w:val="20"/>
                <w:color w:val="auto"/>
              </w:rPr>
            </w:pPr>
            <w:r>
              <w:rPr>
                <w:rFonts w:ascii="Arial" w:cs="Arial" w:eastAsia="Arial" w:hAnsi="Arial"/>
                <w:sz w:val="14"/>
                <w:szCs w:val="14"/>
                <w:color w:val="auto"/>
                <w:w w:val="76"/>
              </w:rPr>
              <w:t>205</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1"/>
              </w:rPr>
              <w:t>Issuance of Series BB convertible preferred stock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7"/>
              </w:rPr>
              <w:t>institutional and individual investors at $4.033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3"/>
              </w:rPr>
              <w:t>per share upon conversion of promissory notes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 May 2001</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w w:val="76"/>
              </w:rPr>
              <w:t>268</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1,081</w:t>
            </w:r>
          </w:p>
        </w:tc>
        <w:tc>
          <w:tcPr>
            <w:tcW w:w="2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w w:val="94"/>
              </w:rPr>
              <w:t>Issuance of Series C convertible preferred stock to</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640"/>
              <w:spacing w:after="0" w:line="149" w:lineRule="exact"/>
              <w:rPr>
                <w:sz w:val="20"/>
                <w:szCs w:val="20"/>
                <w:color w:val="auto"/>
              </w:rPr>
            </w:pPr>
            <w:r>
              <w:rPr>
                <w:rFonts w:ascii="Arial" w:cs="Arial" w:eastAsia="Arial" w:hAnsi="Arial"/>
                <w:sz w:val="14"/>
                <w:szCs w:val="14"/>
                <w:color w:val="auto"/>
                <w:w w:val="97"/>
              </w:rPr>
              <w:t>institutional and individual investors at $7.066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640"/>
              <w:spacing w:after="0" w:line="149" w:lineRule="exact"/>
              <w:rPr>
                <w:sz w:val="20"/>
                <w:szCs w:val="20"/>
                <w:color w:val="auto"/>
              </w:rPr>
            </w:pPr>
            <w:r>
              <w:rPr>
                <w:rFonts w:ascii="Arial" w:cs="Arial" w:eastAsia="Arial" w:hAnsi="Arial"/>
                <w:sz w:val="14"/>
                <w:szCs w:val="14"/>
                <w:color w:val="auto"/>
              </w:rPr>
              <w:t>per share for cash, net of issuance costs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approximately $95 in May and June 2001</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3,807</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26,805</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Issuance of Series C convertible preferred stock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3"/>
              </w:rPr>
              <w:t>consultants in exchange for services in October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2001</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2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w w:val="94"/>
              </w:rPr>
              <w:t>Issuance of common stock to a consultant for cash</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below fair value in April 2001</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Issuance of common stock upon option exercises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768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438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ind w:left="420"/>
              <w:spacing w:after="0" w:line="138" w:lineRule="exact"/>
              <w:rPr>
                <w:sz w:val="20"/>
                <w:szCs w:val="20"/>
                <w:color w:val="auto"/>
              </w:rPr>
            </w:pPr>
            <w:r>
              <w:rPr>
                <w:rFonts w:ascii="Arial" w:cs="Arial" w:eastAsia="Arial" w:hAnsi="Arial"/>
                <w:sz w:val="14"/>
                <w:szCs w:val="14"/>
                <w:color w:val="auto"/>
              </w:rPr>
              <w:t>Issuance of common stock in conjunction with a</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640"/>
              <w:spacing w:after="0" w:line="159" w:lineRule="exact"/>
              <w:rPr>
                <w:sz w:val="20"/>
                <w:szCs w:val="20"/>
                <w:color w:val="auto"/>
              </w:rPr>
            </w:pPr>
            <w:r>
              <w:rPr>
                <w:rFonts w:ascii="Arial" w:cs="Arial" w:eastAsia="Arial" w:hAnsi="Arial"/>
                <w:sz w:val="14"/>
                <w:szCs w:val="14"/>
                <w:color w:val="auto"/>
              </w:rPr>
              <w:t>license agreement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1"/>
              </w:rPr>
              <w:t>Deferred compensation related to options granted to</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employees and non-employees</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10,226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(10,226)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1,849</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(7,454)</w:t>
            </w: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(7,454)</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2001 (carried forward)</w:t>
            </w: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gridSpan w:val="2"/>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5,096</w:t>
            </w:r>
          </w:p>
        </w:tc>
        <w:tc>
          <w:tcPr>
            <w:tcW w:w="1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29,914</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9,479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11,103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(438)</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(8,592)</w:t>
            </w:r>
          </w:p>
        </w:tc>
        <w:tc>
          <w:tcPr>
            <w:tcW w:w="80" w:type="dxa"/>
            <w:vAlign w:val="bottom"/>
          </w:tcPr>
          <w:p>
            <w:pPr>
              <w:spacing w:after="0"/>
              <w:rPr>
                <w:sz w:val="13"/>
                <w:szCs w:val="13"/>
                <w:color w:val="auto"/>
              </w:rPr>
            </w:pP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(9,621)</w:t>
            </w: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(7,539)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CONVERTIBLE PREFERRED STOCK AND STOCKHOLDERS’ EQUITY (NET CAPITAL DEFICIENCY),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40" w:type="dxa"/>
            <w:vAlign w:val="bottom"/>
            <w:tcBorders>
              <w:right w:val="single" w:sz="8" w:color="auto"/>
            </w:tcBorders>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40" w:type="dxa"/>
            <w:vAlign w:val="bottom"/>
            <w:tcBorders>
              <w:right w:val="single" w:sz="8" w:color="auto"/>
            </w:tcBorders>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84"/>
              </w:rPr>
              <w:t>Accumulated</w:t>
            </w:r>
          </w:p>
        </w:tc>
        <w:tc>
          <w:tcPr>
            <w:tcW w:w="8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0" w:type="dxa"/>
            <w:vAlign w:val="bottom"/>
            <w:tcBorders>
              <w:bottom w:val="single" w:sz="8" w:color="auto"/>
            </w:tcBorders>
            <w:gridSpan w:val="4"/>
          </w:tcPr>
          <w:p>
            <w:pPr>
              <w:jc w:val="right"/>
              <w:spacing w:after="0" w:line="115" w:lineRule="exact"/>
              <w:rPr>
                <w:sz w:val="20"/>
                <w:szCs w:val="20"/>
                <w:color w:val="auto"/>
              </w:rPr>
            </w:pPr>
            <w:r>
              <w:rPr>
                <w:rFonts w:ascii="Arial" w:cs="Arial" w:eastAsia="Arial" w:hAnsi="Arial"/>
                <w:sz w:val="12"/>
                <w:szCs w:val="12"/>
                <w:b w:val="1"/>
                <w:bCs w:val="1"/>
                <w:color w:val="auto"/>
              </w:rPr>
              <w:t>Preferred Stock</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gridSpan w:val="4"/>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1"/>
                <w:szCs w:val="11"/>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Receivable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5"/>
              </w:rPr>
              <w:t>During the</w:t>
            </w: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7"/>
              </w:rPr>
              <w:t>Equity (Net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60"/>
              <w:spacing w:after="0" w:line="156"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3"/>
                <w:szCs w:val="13"/>
                <w:color w:val="auto"/>
              </w:rPr>
            </w:pPr>
          </w:p>
        </w:tc>
        <w:tc>
          <w:tcPr>
            <w:tcW w:w="8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89"/>
              </w:rPr>
              <w:t>from</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Deferred</w:t>
            </w:r>
          </w:p>
        </w:tc>
        <w:tc>
          <w:tcPr>
            <w:tcW w:w="940" w:type="dxa"/>
            <w:vAlign w:val="bottom"/>
            <w:gridSpan w:val="3"/>
          </w:tcPr>
          <w:p>
            <w:pPr>
              <w:jc w:val="center"/>
              <w:ind w:right="180"/>
              <w:spacing w:after="0" w:line="156" w:lineRule="exact"/>
              <w:rPr>
                <w:sz w:val="20"/>
                <w:szCs w:val="20"/>
                <w:color w:val="auto"/>
              </w:rPr>
            </w:pPr>
            <w:r>
              <w:rPr>
                <w:rFonts w:ascii="Arial" w:cs="Arial" w:eastAsia="Arial" w:hAnsi="Arial"/>
                <w:sz w:val="14"/>
                <w:szCs w:val="14"/>
                <w:b w:val="1"/>
                <w:bCs w:val="1"/>
                <w:color w:val="auto"/>
                <w:w w:val="86"/>
              </w:rPr>
              <w:t>Development</w:t>
            </w:r>
          </w:p>
        </w:tc>
        <w:tc>
          <w:tcPr>
            <w:tcW w:w="1080" w:type="dxa"/>
            <w:vAlign w:val="bottom"/>
            <w:gridSpan w:val="3"/>
          </w:tcPr>
          <w:p>
            <w:pPr>
              <w:jc w:val="center"/>
              <w:ind w:right="140"/>
              <w:spacing w:after="0" w:line="156"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3"/>
                <w:szCs w:val="13"/>
                <w:color w:val="auto"/>
              </w:rPr>
            </w:pPr>
          </w:p>
        </w:tc>
        <w:tc>
          <w:tcPr>
            <w:tcW w:w="7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Stockholders</w:t>
            </w: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Stage</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Deficiency)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2001 (brought forward)</w:t>
            </w:r>
          </w:p>
        </w:tc>
        <w:tc>
          <w:tcPr>
            <w:tcW w:w="46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5,096</w:t>
            </w:r>
          </w:p>
        </w:tc>
        <w:tc>
          <w:tcPr>
            <w:tcW w:w="780" w:type="dxa"/>
            <w:vAlign w:val="bottom"/>
            <w:tcBorders>
              <w:right w:val="single" w:sz="8" w:color="auto"/>
            </w:tcBorders>
            <w:gridSpan w:val="3"/>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95"/>
              </w:rPr>
              <w:t>$ 29,914</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9,479</w:t>
            </w:r>
          </w:p>
        </w:tc>
        <w:tc>
          <w:tcPr>
            <w:tcW w:w="480" w:type="dxa"/>
            <w:vAlign w:val="bottom"/>
            <w:gridSpan w:val="2"/>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9</w:t>
            </w:r>
          </w:p>
        </w:tc>
        <w:tc>
          <w:tcPr>
            <w:tcW w:w="92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   11,103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(438)</w:t>
            </w: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(8,592)</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(9,621)</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(7,539)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ind w:left="420"/>
              <w:spacing w:after="0" w:line="138" w:lineRule="exact"/>
              <w:rPr>
                <w:sz w:val="20"/>
                <w:szCs w:val="20"/>
                <w:color w:val="auto"/>
              </w:rPr>
            </w:pPr>
            <w:r>
              <w:rPr>
                <w:rFonts w:ascii="Arial" w:cs="Arial" w:eastAsia="Arial" w:hAnsi="Arial"/>
                <w:sz w:val="14"/>
                <w:szCs w:val="14"/>
                <w:color w:val="auto"/>
                <w:w w:val="94"/>
              </w:rPr>
              <w:t>Issuance of Series C convertible preferred stock</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640"/>
              <w:spacing w:after="0" w:line="149" w:lineRule="exact"/>
              <w:rPr>
                <w:sz w:val="20"/>
                <w:szCs w:val="20"/>
                <w:color w:val="auto"/>
              </w:rPr>
            </w:pPr>
            <w:r>
              <w:rPr>
                <w:rFonts w:ascii="Arial" w:cs="Arial" w:eastAsia="Arial" w:hAnsi="Arial"/>
                <w:sz w:val="14"/>
                <w:szCs w:val="14"/>
                <w:color w:val="auto"/>
              </w:rPr>
              <w:t>to institutional and individual investors at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640"/>
              <w:spacing w:after="0" w:line="149" w:lineRule="exact"/>
              <w:rPr>
                <w:sz w:val="20"/>
                <w:szCs w:val="20"/>
                <w:color w:val="auto"/>
              </w:rPr>
            </w:pPr>
            <w:r>
              <w:rPr>
                <w:rFonts w:ascii="Arial" w:cs="Arial" w:eastAsia="Arial" w:hAnsi="Arial"/>
                <w:sz w:val="14"/>
                <w:szCs w:val="14"/>
                <w:color w:val="auto"/>
                <w:w w:val="99"/>
              </w:rPr>
              <w:t>$7.066 per share for cash, net of issuance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640"/>
              <w:spacing w:after="0" w:line="149" w:lineRule="exact"/>
              <w:rPr>
                <w:sz w:val="20"/>
                <w:szCs w:val="20"/>
                <w:color w:val="auto"/>
              </w:rPr>
            </w:pPr>
            <w:r>
              <w:rPr>
                <w:rFonts w:ascii="Arial" w:cs="Arial" w:eastAsia="Arial" w:hAnsi="Arial"/>
                <w:sz w:val="14"/>
                <w:szCs w:val="14"/>
                <w:color w:val="auto"/>
              </w:rPr>
              <w:t>costs of approximately $19 in December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2002</w:t>
            </w:r>
          </w:p>
        </w:tc>
        <w:tc>
          <w:tcPr>
            <w:tcW w:w="4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1,673</w:t>
            </w:r>
          </w:p>
        </w:tc>
        <w:tc>
          <w:tcPr>
            <w:tcW w:w="780" w:type="dxa"/>
            <w:vAlign w:val="bottom"/>
            <w:tcBorders>
              <w:right w:val="single" w:sz="8" w:color="auto"/>
            </w:tcBorders>
            <w:gridSpan w:val="3"/>
          </w:tcPr>
          <w:p>
            <w:pPr>
              <w:jc w:val="right"/>
              <w:ind w:right="240"/>
              <w:spacing w:after="0" w:line="159" w:lineRule="exact"/>
              <w:rPr>
                <w:sz w:val="20"/>
                <w:szCs w:val="20"/>
                <w:color w:val="auto"/>
              </w:rPr>
            </w:pPr>
            <w:r>
              <w:rPr>
                <w:rFonts w:ascii="Arial" w:cs="Arial" w:eastAsia="Arial" w:hAnsi="Arial"/>
                <w:sz w:val="14"/>
                <w:szCs w:val="14"/>
                <w:color w:val="auto"/>
              </w:rPr>
              <w:t>11,802</w:t>
            </w:r>
          </w:p>
        </w:tc>
        <w:tc>
          <w:tcPr>
            <w:tcW w:w="120" w:type="dxa"/>
            <w:vAlign w:val="bottom"/>
          </w:tcPr>
          <w:p>
            <w:pPr>
              <w:spacing w:after="0"/>
              <w:rPr>
                <w:sz w:val="13"/>
                <w:szCs w:val="13"/>
                <w:color w:val="auto"/>
              </w:rPr>
            </w:pPr>
          </w:p>
        </w:tc>
        <w:tc>
          <w:tcPr>
            <w:tcW w:w="5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20" w:type="dxa"/>
            <w:vAlign w:val="bottom"/>
          </w:tcPr>
          <w:p>
            <w:pPr>
              <w:ind w:left="28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Issuance of common stock upon option exercises</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ind w:left="28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4,085</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Reduction of deferred compensation related to</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the unamortized portion of deferred stock</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compensation related to a terminated</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employee</w:t>
            </w:r>
          </w:p>
        </w:tc>
        <w:tc>
          <w:tcPr>
            <w:tcW w:w="46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auto"/>
            </w:tcBorders>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(239)</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ind w:left="420"/>
              <w:spacing w:after="0" w:line="138" w:lineRule="exact"/>
              <w:rPr>
                <w:sz w:val="20"/>
                <w:szCs w:val="20"/>
                <w:color w:val="auto"/>
              </w:rPr>
            </w:pPr>
            <w:r>
              <w:rPr>
                <w:rFonts w:ascii="Arial" w:cs="Arial" w:eastAsia="Arial" w:hAnsi="Arial"/>
                <w:sz w:val="14"/>
                <w:szCs w:val="14"/>
                <w:color w:val="auto"/>
              </w:rPr>
              <w:t>Reversal of previously expensed deferred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640"/>
              <w:spacing w:after="0" w:line="149" w:lineRule="exact"/>
              <w:rPr>
                <w:sz w:val="20"/>
                <w:szCs w:val="20"/>
                <w:color w:val="auto"/>
              </w:rPr>
            </w:pPr>
            <w:r>
              <w:rPr>
                <w:rFonts w:ascii="Arial" w:cs="Arial" w:eastAsia="Arial" w:hAnsi="Arial"/>
                <w:sz w:val="14"/>
                <w:szCs w:val="14"/>
                <w:color w:val="auto"/>
              </w:rPr>
              <w:t>compensation related to a terminated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640"/>
              <w:spacing w:after="0" w:line="159" w:lineRule="exact"/>
              <w:rPr>
                <w:sz w:val="20"/>
                <w:szCs w:val="20"/>
                <w:color w:val="auto"/>
              </w:rPr>
            </w:pPr>
            <w:r>
              <w:rPr>
                <w:rFonts w:ascii="Arial" w:cs="Arial" w:eastAsia="Arial" w:hAnsi="Arial"/>
                <w:sz w:val="14"/>
                <w:szCs w:val="14"/>
                <w:color w:val="auto"/>
                <w:w w:val="95"/>
              </w:rPr>
              <w:t>employee based on the straight line method</w:t>
            </w:r>
          </w:p>
        </w:tc>
        <w:tc>
          <w:tcPr>
            <w:tcW w:w="4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20" w:type="dxa"/>
            <w:vAlign w:val="bottom"/>
          </w:tcPr>
          <w:p>
            <w:pPr>
              <w:ind w:left="28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3"/>
                <w:szCs w:val="13"/>
                <w:color w:val="auto"/>
              </w:rPr>
            </w:pPr>
          </w:p>
        </w:tc>
        <w:tc>
          <w:tcPr>
            <w:tcW w:w="80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Stock-based compensation related to lapsing</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repurchase right of stock held by a non-</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employee</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jc w:val="center"/>
              <w:ind w:left="53"/>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ind w:left="28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(18,504)</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6,769</w:t>
            </w:r>
          </w:p>
        </w:tc>
        <w:tc>
          <w:tcPr>
            <w:tcW w:w="780" w:type="dxa"/>
            <w:vAlign w:val="bottom"/>
            <w:tcBorders>
              <w:right w:val="single" w:sz="8" w:color="auto"/>
            </w:tcBorders>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9,541</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9</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10,882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(4,268)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(28,125)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ind w:left="420"/>
              <w:spacing w:after="0" w:line="138" w:lineRule="exact"/>
              <w:rPr>
                <w:sz w:val="20"/>
                <w:szCs w:val="20"/>
                <w:color w:val="auto"/>
              </w:rPr>
            </w:pPr>
            <w:r>
              <w:rPr>
                <w:rFonts w:ascii="Arial" w:cs="Arial" w:eastAsia="Arial" w:hAnsi="Arial"/>
                <w:sz w:val="14"/>
                <w:szCs w:val="14"/>
                <w:color w:val="auto"/>
                <w:w w:val="91"/>
              </w:rPr>
              <w:t>Deferred compensation related to options granted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640"/>
              <w:spacing w:after="0" w:line="159" w:lineRule="exact"/>
              <w:rPr>
                <w:sz w:val="20"/>
                <w:szCs w:val="20"/>
                <w:color w:val="auto"/>
              </w:rPr>
            </w:pPr>
            <w:r>
              <w:rPr>
                <w:rFonts w:ascii="Arial" w:cs="Arial" w:eastAsia="Arial" w:hAnsi="Arial"/>
                <w:sz w:val="14"/>
                <w:szCs w:val="14"/>
                <w:color w:val="auto"/>
              </w:rPr>
              <w:t>to employees and non-employees</w:t>
            </w:r>
          </w:p>
        </w:tc>
        <w:tc>
          <w:tcPr>
            <w:tcW w:w="4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20" w:type="dxa"/>
            <w:vAlign w:val="bottom"/>
          </w:tcPr>
          <w:p>
            <w:pPr>
              <w:ind w:left="28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9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1,159</w:t>
            </w:r>
          </w:p>
        </w:tc>
        <w:tc>
          <w:tcPr>
            <w:tcW w:w="60" w:type="dxa"/>
            <w:vAlign w:val="bottom"/>
          </w:tcPr>
          <w:p>
            <w:pPr>
              <w:spacing w:after="0"/>
              <w:rPr>
                <w:sz w:val="13"/>
                <w:szCs w:val="13"/>
                <w:color w:val="auto"/>
              </w:rPr>
            </w:pPr>
          </w:p>
        </w:tc>
        <w:tc>
          <w:tcPr>
            <w:tcW w:w="80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(1,159)</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1,559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ind w:left="420"/>
              <w:spacing w:after="0" w:line="138" w:lineRule="exact"/>
              <w:rPr>
                <w:sz w:val="20"/>
                <w:szCs w:val="20"/>
                <w:color w:val="auto"/>
              </w:rPr>
            </w:pPr>
            <w:r>
              <w:rPr>
                <w:rFonts w:ascii="Arial" w:cs="Arial" w:eastAsia="Arial" w:hAnsi="Arial"/>
                <w:sz w:val="14"/>
                <w:szCs w:val="14"/>
                <w:color w:val="auto"/>
                <w:w w:val="97"/>
              </w:rPr>
              <w:t>Reduction of deferred compensation related to</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640"/>
              <w:spacing w:after="0" w:line="149" w:lineRule="exact"/>
              <w:rPr>
                <w:sz w:val="20"/>
                <w:szCs w:val="20"/>
                <w:color w:val="auto"/>
              </w:rPr>
            </w:pPr>
            <w:r>
              <w:rPr>
                <w:rFonts w:ascii="Arial" w:cs="Arial" w:eastAsia="Arial" w:hAnsi="Arial"/>
                <w:sz w:val="14"/>
                <w:szCs w:val="14"/>
                <w:color w:val="auto"/>
              </w:rPr>
              <w:t>the unamortized portion of deferred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640"/>
              <w:spacing w:after="0" w:line="149" w:lineRule="exact"/>
              <w:rPr>
                <w:sz w:val="20"/>
                <w:szCs w:val="20"/>
                <w:color w:val="auto"/>
              </w:rPr>
            </w:pPr>
            <w:r>
              <w:rPr>
                <w:rFonts w:ascii="Arial" w:cs="Arial" w:eastAsia="Arial" w:hAnsi="Arial"/>
                <w:sz w:val="14"/>
                <w:szCs w:val="14"/>
                <w:color w:val="auto"/>
              </w:rPr>
              <w:t>compensation related to terminated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640"/>
              <w:spacing w:after="0" w:line="159" w:lineRule="exact"/>
              <w:rPr>
                <w:sz w:val="20"/>
                <w:szCs w:val="20"/>
                <w:color w:val="auto"/>
              </w:rPr>
            </w:pPr>
            <w:r>
              <w:rPr>
                <w:rFonts w:ascii="Arial" w:cs="Arial" w:eastAsia="Arial" w:hAnsi="Arial"/>
                <w:sz w:val="14"/>
                <w:szCs w:val="14"/>
                <w:color w:val="auto"/>
              </w:rPr>
              <w:t>employees</w:t>
            </w:r>
          </w:p>
        </w:tc>
        <w:tc>
          <w:tcPr>
            <w:tcW w:w="4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20" w:type="dxa"/>
            <w:vAlign w:val="bottom"/>
          </w:tcPr>
          <w:p>
            <w:pPr>
              <w:ind w:left="28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(1,588)</w:t>
            </w:r>
          </w:p>
        </w:tc>
        <w:tc>
          <w:tcPr>
            <w:tcW w:w="60" w:type="dxa"/>
            <w:vAlign w:val="bottom"/>
          </w:tcPr>
          <w:p>
            <w:pPr>
              <w:spacing w:after="0"/>
              <w:rPr>
                <w:sz w:val="13"/>
                <w:szCs w:val="13"/>
                <w:color w:val="auto"/>
              </w:rPr>
            </w:pPr>
          </w:p>
        </w:tc>
        <w:tc>
          <w:tcPr>
            <w:tcW w:w="80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1,588</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Reversal of previously expensed deferred</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compensation related to terminated</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employees</w:t>
            </w:r>
          </w:p>
        </w:tc>
        <w:tc>
          <w:tcPr>
            <w:tcW w:w="46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720" w:type="dxa"/>
            <w:vAlign w:val="bottom"/>
            <w:tcBorders>
              <w:right w:val="single" w:sz="8" w:color="auto"/>
            </w:tcBorders>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(1,384)</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ind w:left="420"/>
              <w:spacing w:after="0" w:line="138" w:lineRule="exact"/>
              <w:rPr>
                <w:sz w:val="20"/>
                <w:szCs w:val="20"/>
                <w:color w:val="auto"/>
              </w:rPr>
            </w:pPr>
            <w:r>
              <w:rPr>
                <w:rFonts w:ascii="Arial" w:cs="Arial" w:eastAsia="Arial" w:hAnsi="Arial"/>
                <w:sz w:val="14"/>
                <w:szCs w:val="14"/>
                <w:color w:val="auto"/>
                <w:w w:val="97"/>
              </w:rPr>
              <w:t>Repurchase of common stock and reduction 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640"/>
              <w:spacing w:after="0" w:line="159" w:lineRule="exact"/>
              <w:rPr>
                <w:sz w:val="20"/>
                <w:szCs w:val="20"/>
                <w:color w:val="auto"/>
              </w:rPr>
            </w:pPr>
            <w:r>
              <w:rPr>
                <w:rFonts w:ascii="Arial" w:cs="Arial" w:eastAsia="Arial" w:hAnsi="Arial"/>
                <w:sz w:val="14"/>
                <w:szCs w:val="14"/>
                <w:color w:val="auto"/>
                <w:w w:val="94"/>
              </w:rPr>
              <w:t>note payable upon termination of employees</w:t>
            </w:r>
          </w:p>
        </w:tc>
        <w:tc>
          <w:tcPr>
            <w:tcW w:w="4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(206)</w:t>
            </w:r>
          </w:p>
        </w:tc>
        <w:tc>
          <w:tcPr>
            <w:tcW w:w="60" w:type="dxa"/>
            <w:vAlign w:val="bottom"/>
          </w:tcPr>
          <w:p>
            <w:pPr>
              <w:spacing w:after="0"/>
              <w:rPr>
                <w:sz w:val="13"/>
                <w:szCs w:val="13"/>
                <w:color w:val="auto"/>
              </w:rPr>
            </w:pPr>
          </w:p>
        </w:tc>
        <w:tc>
          <w:tcPr>
            <w:tcW w:w="420" w:type="dxa"/>
            <w:vAlign w:val="bottom"/>
          </w:tcPr>
          <w:p>
            <w:pPr>
              <w:ind w:left="280"/>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(155)</w:t>
            </w:r>
          </w:p>
        </w:tc>
        <w:tc>
          <w:tcPr>
            <w:tcW w:w="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w w:val="76"/>
              </w:rPr>
              <w:t>155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Repayment of note receivable from stockholder</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ind w:left="420"/>
              <w:spacing w:after="0" w:line="138" w:lineRule="exact"/>
              <w:rPr>
                <w:sz w:val="20"/>
                <w:szCs w:val="20"/>
                <w:color w:val="auto"/>
              </w:rPr>
            </w:pPr>
            <w:r>
              <w:rPr>
                <w:rFonts w:ascii="Arial" w:cs="Arial" w:eastAsia="Arial" w:hAnsi="Arial"/>
                <w:sz w:val="14"/>
                <w:szCs w:val="14"/>
                <w:color w:val="auto"/>
              </w:rPr>
              <w:t>Stock-based compensation related to lapsing</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640"/>
              <w:spacing w:after="0" w:line="149" w:lineRule="exact"/>
              <w:rPr>
                <w:sz w:val="20"/>
                <w:szCs w:val="20"/>
                <w:color w:val="auto"/>
              </w:rPr>
            </w:pPr>
            <w:r>
              <w:rPr>
                <w:rFonts w:ascii="Arial" w:cs="Arial" w:eastAsia="Arial" w:hAnsi="Arial"/>
                <w:sz w:val="14"/>
                <w:szCs w:val="14"/>
                <w:color w:val="auto"/>
              </w:rPr>
              <w:t>repurchase right of stock held by a non-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ind w:left="640"/>
              <w:spacing w:after="0" w:line="15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(9,812)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420"/>
              <w:spacing w:after="0" w:line="149" w:lineRule="exact"/>
              <w:rPr>
                <w:sz w:val="20"/>
                <w:szCs w:val="20"/>
                <w:color w:val="auto"/>
              </w:rPr>
            </w:pPr>
            <w:r>
              <w:rPr>
                <w:rFonts w:ascii="Arial" w:cs="Arial" w:eastAsia="Arial" w:hAnsi="Arial"/>
                <w:sz w:val="14"/>
                <w:szCs w:val="14"/>
                <w:color w:val="auto"/>
              </w:rPr>
              <w:t>Unrealized loss on short-term investments</w:t>
            </w: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ind w:left="280"/>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comprehensive loss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(9,813)</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2003 (carried forward)</w:t>
            </w: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gridSpan w:val="2"/>
            <w:vMerge w:val="continue"/>
          </w:tcPr>
          <w:p>
            <w:pPr>
              <w:spacing w:after="0"/>
              <w:rPr>
                <w:sz w:val="13"/>
                <w:szCs w:val="13"/>
                <w:color w:val="auto"/>
              </w:rPr>
            </w:pPr>
          </w:p>
        </w:tc>
        <w:tc>
          <w:tcPr>
            <w:tcW w:w="460" w:type="dxa"/>
            <w:vAlign w:val="bottom"/>
            <w:gridSpan w:val="2"/>
          </w:tcPr>
          <w:p>
            <w:pPr>
              <w:jc w:val="center"/>
              <w:spacing w:after="0" w:line="155" w:lineRule="exact"/>
              <w:rPr>
                <w:sz w:val="20"/>
                <w:szCs w:val="20"/>
                <w:color w:val="auto"/>
              </w:rPr>
            </w:pPr>
            <w:r>
              <w:rPr>
                <w:rFonts w:ascii="Arial" w:cs="Arial" w:eastAsia="Arial" w:hAnsi="Arial"/>
                <w:sz w:val="14"/>
                <w:szCs w:val="14"/>
                <w:color w:val="auto"/>
                <w:w w:val="85"/>
              </w:rPr>
              <w:t>6,769</w:t>
            </w:r>
          </w:p>
        </w:tc>
        <w:tc>
          <w:tcPr>
            <w:tcW w:w="780" w:type="dxa"/>
            <w:vAlign w:val="bottom"/>
            <w:tcBorders>
              <w:right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color w:val="auto"/>
              </w:rPr>
              <w:t>41,716</w:t>
            </w:r>
          </w:p>
        </w:tc>
        <w:tc>
          <w:tcPr>
            <w:tcW w:w="120" w:type="dxa"/>
            <w:vAlign w:val="bottom"/>
          </w:tcPr>
          <w:p>
            <w:pPr>
              <w:spacing w:after="0"/>
              <w:rPr>
                <w:sz w:val="13"/>
                <w:szCs w:val="13"/>
                <w:color w:val="auto"/>
              </w:rPr>
            </w:pPr>
          </w:p>
        </w:tc>
        <w:tc>
          <w:tcPr>
            <w:tcW w:w="5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9,335</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9</w:t>
            </w:r>
          </w:p>
        </w:tc>
        <w:tc>
          <w:tcPr>
            <w:tcW w:w="92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8,982</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(2,280)</w:t>
            </w:r>
          </w:p>
        </w:tc>
        <w:tc>
          <w:tcPr>
            <w:tcW w:w="8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(37,937)</w:t>
            </w:r>
          </w:p>
        </w:tc>
        <w:tc>
          <w:tcPr>
            <w:tcW w:w="80" w:type="dxa"/>
            <w:vAlign w:val="bottom"/>
          </w:tcPr>
          <w:p>
            <w:pPr>
              <w:spacing w:after="0"/>
              <w:rPr>
                <w:sz w:val="13"/>
                <w:szCs w:val="13"/>
                <w:color w:val="auto"/>
              </w:rPr>
            </w:pP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(31,473)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CONVERTIBLE PREFERRED STOCK AND STOCKHOLDERS’ EQUITY (NET CAPITAL DEFICIENCY),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Borders>
              <w:right w:val="single" w:sz="8" w:color="auto"/>
            </w:tcBorders>
            <w:gridSpan w:val="4"/>
            <w:vMerge w:val="restart"/>
          </w:tcPr>
          <w:p>
            <w:pPr>
              <w:ind w:left="18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40" w:type="dxa"/>
            <w:vAlign w:val="bottom"/>
            <w:tcBorders>
              <w:right w:val="single" w:sz="8" w:color="auto"/>
            </w:tcBorders>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60" w:type="dxa"/>
            <w:vAlign w:val="bottom"/>
            <w:tcBorders>
              <w:bottom w:val="single" w:sz="8" w:color="auto"/>
            </w:tcBorders>
            <w:gridSpan w:val="3"/>
          </w:tcPr>
          <w:p>
            <w:pPr>
              <w:jc w:val="right"/>
              <w:ind w:right="12"/>
              <w:spacing w:after="0" w:line="115" w:lineRule="exact"/>
              <w:rPr>
                <w:sz w:val="20"/>
                <w:szCs w:val="20"/>
                <w:color w:val="auto"/>
              </w:rPr>
            </w:pPr>
            <w:r>
              <w:rPr>
                <w:rFonts w:ascii="Arial" w:cs="Arial" w:eastAsia="Arial" w:hAnsi="Arial"/>
                <w:sz w:val="12"/>
                <w:szCs w:val="12"/>
                <w:b w:val="1"/>
                <w:bCs w:val="1"/>
                <w:color w:val="auto"/>
              </w:rPr>
              <w:t>Preferred Stock</w:t>
            </w: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bottom w:val="single" w:sz="8" w:color="auto"/>
            </w:tcBorders>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1"/>
              </w:rPr>
              <w:t>Receivable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5"/>
              </w:rPr>
              <w:t>During the</w:t>
            </w:r>
          </w:p>
        </w:tc>
        <w:tc>
          <w:tcPr>
            <w:tcW w:w="10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86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7"/>
              </w:rPr>
              <w:t>Equity (Net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3"/>
                <w:szCs w:val="13"/>
                <w:color w:val="auto"/>
              </w:rPr>
            </w:pPr>
          </w:p>
        </w:tc>
        <w:tc>
          <w:tcPr>
            <w:tcW w:w="8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89"/>
              </w:rPr>
              <w:t>from</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Deferred</w:t>
            </w:r>
          </w:p>
        </w:tc>
        <w:tc>
          <w:tcPr>
            <w:tcW w:w="940" w:type="dxa"/>
            <w:vAlign w:val="bottom"/>
            <w:gridSpan w:val="3"/>
          </w:tcPr>
          <w:p>
            <w:pPr>
              <w:jc w:val="center"/>
              <w:ind w:right="180"/>
              <w:spacing w:after="0" w:line="156" w:lineRule="exact"/>
              <w:rPr>
                <w:sz w:val="20"/>
                <w:szCs w:val="20"/>
                <w:color w:val="auto"/>
              </w:rPr>
            </w:pPr>
            <w:r>
              <w:rPr>
                <w:rFonts w:ascii="Arial" w:cs="Arial" w:eastAsia="Arial" w:hAnsi="Arial"/>
                <w:sz w:val="14"/>
                <w:szCs w:val="14"/>
                <w:b w:val="1"/>
                <w:bCs w:val="1"/>
                <w:color w:val="auto"/>
                <w:w w:val="86"/>
              </w:rPr>
              <w:t>Development</w:t>
            </w:r>
          </w:p>
        </w:tc>
        <w:tc>
          <w:tcPr>
            <w:tcW w:w="80" w:type="dxa"/>
            <w:vAlign w:val="bottom"/>
          </w:tcPr>
          <w:p>
            <w:pPr>
              <w:spacing w:after="0"/>
              <w:rPr>
                <w:sz w:val="13"/>
                <w:szCs w:val="13"/>
                <w:color w:val="auto"/>
              </w:rPr>
            </w:pPr>
          </w:p>
        </w:tc>
        <w:tc>
          <w:tcPr>
            <w:tcW w:w="10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7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Stockholders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Stage</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Deficiency)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2003 (brought forward)</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6,769</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$ 41,716</w:t>
            </w: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9,335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8,982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(246)</w:t>
            </w: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(2,280)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(37,937)</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(31,473)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tcPr>
          <w:p>
            <w:pPr>
              <w:ind w:left="420"/>
              <w:spacing w:after="0" w:line="138" w:lineRule="exact"/>
              <w:rPr>
                <w:sz w:val="20"/>
                <w:szCs w:val="20"/>
                <w:color w:val="auto"/>
              </w:rPr>
            </w:pPr>
            <w:r>
              <w:rPr>
                <w:rFonts w:ascii="Arial" w:cs="Arial" w:eastAsia="Arial" w:hAnsi="Arial"/>
                <w:sz w:val="14"/>
                <w:szCs w:val="14"/>
                <w:color w:val="auto"/>
                <w:w w:val="97"/>
              </w:rPr>
              <w:t>Sale of Shares in IPO at $12.00 per share for</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40"/>
              <w:spacing w:after="0" w:line="149" w:lineRule="exact"/>
              <w:rPr>
                <w:sz w:val="20"/>
                <w:szCs w:val="20"/>
                <w:color w:val="auto"/>
              </w:rPr>
            </w:pPr>
            <w:r>
              <w:rPr>
                <w:rFonts w:ascii="Arial" w:cs="Arial" w:eastAsia="Arial" w:hAnsi="Arial"/>
                <w:sz w:val="14"/>
                <w:szCs w:val="14"/>
                <w:color w:val="auto"/>
                <w:w w:val="90"/>
              </w:rPr>
              <w:t>cash, net of issuance costs of approximately</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$4,974</w:t>
            </w:r>
          </w:p>
        </w:tc>
        <w:tc>
          <w:tcPr>
            <w:tcW w:w="5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4,500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49,020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49,025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 of preferred shares in IPO</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(6,769)</w:t>
            </w:r>
          </w:p>
        </w:tc>
        <w:tc>
          <w:tcPr>
            <w:tcW w:w="780" w:type="dxa"/>
            <w:vAlign w:val="bottom"/>
            <w:tcBorders>
              <w:right w:val="single" w:sz="8" w:color="auto"/>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(41,716)</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41,707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420"/>
              <w:spacing w:after="0" w:line="149" w:lineRule="exact"/>
              <w:rPr>
                <w:sz w:val="20"/>
                <w:szCs w:val="20"/>
                <w:color w:val="auto"/>
              </w:rPr>
            </w:pPr>
            <w:r>
              <w:rPr>
                <w:rFonts w:ascii="Arial" w:cs="Arial" w:eastAsia="Arial" w:hAnsi="Arial"/>
                <w:sz w:val="14"/>
                <w:szCs w:val="14"/>
                <w:color w:val="auto"/>
              </w:rPr>
              <w:t>Conversion of note payable</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Issuance of common stock upon option</w:t>
            </w: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exercises</w:t>
            </w:r>
          </w:p>
        </w:tc>
        <w:tc>
          <w:tcPr>
            <w:tcW w:w="5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tcPr>
          <w:p>
            <w:pPr>
              <w:ind w:left="420"/>
              <w:spacing w:after="0" w:line="138" w:lineRule="exact"/>
              <w:rPr>
                <w:sz w:val="20"/>
                <w:szCs w:val="20"/>
                <w:color w:val="auto"/>
              </w:rPr>
            </w:pPr>
            <w:r>
              <w:rPr>
                <w:rFonts w:ascii="Arial" w:cs="Arial" w:eastAsia="Arial" w:hAnsi="Arial"/>
                <w:sz w:val="14"/>
                <w:szCs w:val="14"/>
                <w:color w:val="auto"/>
              </w:rPr>
              <w:t>Deferred compensation related to options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Pr>
          <w:p>
            <w:pPr>
              <w:ind w:left="640"/>
              <w:spacing w:after="0" w:line="159" w:lineRule="exact"/>
              <w:rPr>
                <w:sz w:val="20"/>
                <w:szCs w:val="20"/>
                <w:color w:val="auto"/>
              </w:rPr>
            </w:pPr>
            <w:r>
              <w:rPr>
                <w:rFonts w:ascii="Arial" w:cs="Arial" w:eastAsia="Arial" w:hAnsi="Arial"/>
                <w:sz w:val="14"/>
                <w:szCs w:val="14"/>
                <w:color w:val="auto"/>
                <w:w w:val="95"/>
              </w:rPr>
              <w:t>granted to employees and non-employees</w:t>
            </w:r>
          </w:p>
        </w:tc>
        <w:tc>
          <w:tcPr>
            <w:tcW w:w="5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1,447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(1,447)</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tcPr>
          <w:p>
            <w:pPr>
              <w:ind w:left="420"/>
              <w:spacing w:after="0" w:line="138" w:lineRule="exact"/>
              <w:rPr>
                <w:sz w:val="20"/>
                <w:szCs w:val="20"/>
                <w:color w:val="auto"/>
              </w:rPr>
            </w:pPr>
            <w:r>
              <w:rPr>
                <w:rFonts w:ascii="Arial" w:cs="Arial" w:eastAsia="Arial" w:hAnsi="Arial"/>
                <w:sz w:val="14"/>
                <w:szCs w:val="14"/>
                <w:color w:val="auto"/>
                <w:w w:val="94"/>
              </w:rPr>
              <w:t>Reduction of deferred compensation related to</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40"/>
              <w:spacing w:after="0" w:line="149" w:lineRule="exact"/>
              <w:rPr>
                <w:sz w:val="20"/>
                <w:szCs w:val="20"/>
                <w:color w:val="auto"/>
              </w:rPr>
            </w:pPr>
            <w:r>
              <w:rPr>
                <w:rFonts w:ascii="Arial" w:cs="Arial" w:eastAsia="Arial" w:hAnsi="Arial"/>
                <w:sz w:val="14"/>
                <w:szCs w:val="14"/>
                <w:color w:val="auto"/>
                <w:w w:val="97"/>
              </w:rPr>
              <w:t>the unamortized portion of deferred stock</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40"/>
              <w:spacing w:after="0" w:line="149" w:lineRule="exact"/>
              <w:rPr>
                <w:sz w:val="20"/>
                <w:szCs w:val="20"/>
                <w:color w:val="auto"/>
              </w:rPr>
            </w:pPr>
            <w:r>
              <w:rPr>
                <w:rFonts w:ascii="Arial" w:cs="Arial" w:eastAsia="Arial" w:hAnsi="Arial"/>
                <w:sz w:val="14"/>
                <w:szCs w:val="14"/>
                <w:color w:val="auto"/>
              </w:rPr>
              <w:t>compensation related to terminated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Pr>
          <w:p>
            <w:pPr>
              <w:ind w:left="640"/>
              <w:spacing w:after="0" w:line="159" w:lineRule="exact"/>
              <w:rPr>
                <w:sz w:val="20"/>
                <w:szCs w:val="20"/>
                <w:color w:val="auto"/>
              </w:rPr>
            </w:pPr>
            <w:r>
              <w:rPr>
                <w:rFonts w:ascii="Arial" w:cs="Arial" w:eastAsia="Arial" w:hAnsi="Arial"/>
                <w:sz w:val="14"/>
                <w:szCs w:val="14"/>
                <w:color w:val="auto"/>
              </w:rPr>
              <w:t>employees and consultants</w:t>
            </w:r>
          </w:p>
        </w:tc>
        <w:tc>
          <w:tcPr>
            <w:tcW w:w="5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(155)</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155</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Reversal of previously expensed deferred</w:t>
            </w: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compensation related to employees</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terminated or converted to consultant</w:t>
            </w:r>
          </w:p>
        </w:tc>
        <w:tc>
          <w:tcPr>
            <w:tcW w:w="5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(243)</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420"/>
              <w:spacing w:after="0" w:line="149" w:lineRule="exact"/>
              <w:rPr>
                <w:sz w:val="20"/>
                <w:szCs w:val="20"/>
                <w:color w:val="auto"/>
              </w:rPr>
            </w:pPr>
            <w:r>
              <w:rPr>
                <w:rFonts w:ascii="Arial" w:cs="Arial" w:eastAsia="Arial" w:hAnsi="Arial"/>
                <w:sz w:val="14"/>
                <w:szCs w:val="14"/>
                <w:color w:val="auto"/>
                <w:w w:val="92"/>
              </w:rPr>
              <w:t>Repayment of note receivable from stockholder</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7"/>
              </w:rPr>
              <w:t>Stock-based compensation related to lapsing</w:t>
            </w: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repurchase right of stock held by a non-</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employee</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(15,535)</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unrealized loss on investments</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vMerge w:val="restart"/>
          </w:tcPr>
          <w:p>
            <w:pPr>
              <w:ind w:left="420"/>
              <w:spacing w:after="0"/>
              <w:rPr>
                <w:sz w:val="20"/>
                <w:szCs w:val="20"/>
                <w:color w:val="auto"/>
              </w:rPr>
            </w:pPr>
            <w:r>
              <w:rPr>
                <w:rFonts w:ascii="Arial" w:cs="Arial" w:eastAsia="Arial" w:hAnsi="Arial"/>
                <w:sz w:val="14"/>
                <w:szCs w:val="14"/>
                <w:color w:val="auto"/>
              </w:rPr>
              <w:t>Total comprehensive loss</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(15,596)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22,694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101,361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(53,472)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45,948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tcPr>
          <w:p>
            <w:pPr>
              <w:ind w:left="420"/>
              <w:spacing w:after="0" w:line="138" w:lineRule="exact"/>
              <w:rPr>
                <w:sz w:val="20"/>
                <w:szCs w:val="20"/>
                <w:color w:val="auto"/>
              </w:rPr>
            </w:pPr>
            <w:r>
              <w:rPr>
                <w:rFonts w:ascii="Arial" w:cs="Arial" w:eastAsia="Arial" w:hAnsi="Arial"/>
                <w:sz w:val="14"/>
                <w:szCs w:val="14"/>
                <w:color w:val="auto"/>
                <w:w w:val="91"/>
              </w:rPr>
              <w:t>Issuance of common stock upon option exercise</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40"/>
              <w:spacing w:after="0" w:line="149" w:lineRule="exact"/>
              <w:rPr>
                <w:sz w:val="20"/>
                <w:szCs w:val="20"/>
                <w:color w:val="auto"/>
              </w:rPr>
            </w:pPr>
            <w:r>
              <w:rPr>
                <w:rFonts w:ascii="Arial" w:cs="Arial" w:eastAsia="Arial" w:hAnsi="Arial"/>
                <w:sz w:val="14"/>
                <w:szCs w:val="14"/>
                <w:color w:val="auto"/>
                <w:w w:val="91"/>
              </w:rPr>
              <w:t>for cash in June 2005 at a price of $0.10 per</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Pr>
          <w:p>
            <w:pPr>
              <w:ind w:left="640"/>
              <w:spacing w:after="0" w:line="159" w:lineRule="exact"/>
              <w:rPr>
                <w:sz w:val="20"/>
                <w:szCs w:val="20"/>
                <w:color w:val="auto"/>
              </w:rPr>
            </w:pPr>
            <w:r>
              <w:rPr>
                <w:rFonts w:ascii="Arial" w:cs="Arial" w:eastAsia="Arial" w:hAnsi="Arial"/>
                <w:sz w:val="14"/>
                <w:szCs w:val="14"/>
                <w:color w:val="auto"/>
              </w:rPr>
              <w:t>share</w:t>
            </w:r>
          </w:p>
        </w:tc>
        <w:tc>
          <w:tcPr>
            <w:tcW w:w="5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Deferred compensation related to options</w:t>
            </w: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w w:val="95"/>
              </w:rPr>
              <w:t>granted to employees and non-employees</w:t>
            </w:r>
          </w:p>
        </w:tc>
        <w:tc>
          <w:tcPr>
            <w:tcW w:w="5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(94)</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912</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Reduction of deferred compensation related to</w:t>
            </w: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7"/>
              </w:rPr>
              <w:t>the unamortized portion of deferred stock</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2"/>
              </w:rPr>
              <w:t>compensation related to unvested shares at</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termination of employees</w:t>
            </w:r>
          </w:p>
        </w:tc>
        <w:tc>
          <w:tcPr>
            <w:tcW w:w="5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tcPr>
          <w:p>
            <w:pPr>
              <w:ind w:left="420"/>
              <w:spacing w:after="0" w:line="138" w:lineRule="exact"/>
              <w:rPr>
                <w:sz w:val="20"/>
                <w:szCs w:val="20"/>
                <w:color w:val="auto"/>
              </w:rPr>
            </w:pPr>
            <w:r>
              <w:rPr>
                <w:rFonts w:ascii="Arial" w:cs="Arial" w:eastAsia="Arial" w:hAnsi="Arial"/>
                <w:sz w:val="14"/>
                <w:szCs w:val="14"/>
                <w:color w:val="auto"/>
              </w:rPr>
              <w:t>Reversal of previously expensed deferred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40"/>
              <w:spacing w:after="0" w:line="149" w:lineRule="exact"/>
              <w:rPr>
                <w:sz w:val="20"/>
                <w:szCs w:val="20"/>
                <w:color w:val="auto"/>
              </w:rPr>
            </w:pPr>
            <w:r>
              <w:rPr>
                <w:rFonts w:ascii="Arial" w:cs="Arial" w:eastAsia="Arial" w:hAnsi="Arial"/>
                <w:sz w:val="14"/>
                <w:szCs w:val="14"/>
                <w:color w:val="auto"/>
              </w:rPr>
              <w:t>compensation related to employees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Pr>
          <w:p>
            <w:pPr>
              <w:ind w:left="640"/>
              <w:spacing w:after="0" w:line="159" w:lineRule="exact"/>
              <w:rPr>
                <w:sz w:val="20"/>
                <w:szCs w:val="20"/>
                <w:color w:val="auto"/>
              </w:rPr>
            </w:pPr>
            <w:r>
              <w:rPr>
                <w:rFonts w:ascii="Arial" w:cs="Arial" w:eastAsia="Arial" w:hAnsi="Arial"/>
                <w:sz w:val="14"/>
                <w:szCs w:val="14"/>
                <w:color w:val="auto"/>
              </w:rPr>
              <w:t>terminated or converted to consultant</w:t>
            </w:r>
          </w:p>
        </w:tc>
        <w:tc>
          <w:tcPr>
            <w:tcW w:w="5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(250)</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Repayment of note receivable from stockholder</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tcPr>
          <w:p>
            <w:pPr>
              <w:ind w:left="420"/>
              <w:spacing w:after="0" w:line="138" w:lineRule="exact"/>
              <w:rPr>
                <w:sz w:val="20"/>
                <w:szCs w:val="20"/>
                <w:color w:val="auto"/>
              </w:rPr>
            </w:pPr>
            <w:r>
              <w:rPr>
                <w:rFonts w:ascii="Arial" w:cs="Arial" w:eastAsia="Arial" w:hAnsi="Arial"/>
                <w:sz w:val="14"/>
                <w:szCs w:val="14"/>
                <w:color w:val="auto"/>
                <w:w w:val="97"/>
              </w:rPr>
              <w:t>Stock-based compensation related to lapsing</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40"/>
              <w:spacing w:after="0" w:line="149" w:lineRule="exact"/>
              <w:rPr>
                <w:sz w:val="20"/>
                <w:szCs w:val="20"/>
                <w:color w:val="auto"/>
              </w:rPr>
            </w:pPr>
            <w:r>
              <w:rPr>
                <w:rFonts w:ascii="Arial" w:cs="Arial" w:eastAsia="Arial" w:hAnsi="Arial"/>
                <w:sz w:val="14"/>
                <w:szCs w:val="14"/>
                <w:color w:val="auto"/>
              </w:rPr>
              <w:t>repurchase right of stock held by a non-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Pr>
          <w:p>
            <w:pPr>
              <w:ind w:left="640"/>
              <w:spacing w:after="0" w:line="159" w:lineRule="exact"/>
              <w:rPr>
                <w:sz w:val="20"/>
                <w:szCs w:val="20"/>
                <w:color w:val="auto"/>
              </w:rPr>
            </w:pPr>
            <w:r>
              <w:rPr>
                <w:rFonts w:ascii="Arial" w:cs="Arial" w:eastAsia="Arial" w:hAnsi="Arial"/>
                <w:sz w:val="14"/>
                <w:szCs w:val="14"/>
                <w:color w:val="auto"/>
              </w:rPr>
              <w:t>employee</w:t>
            </w:r>
          </w:p>
        </w:tc>
        <w:tc>
          <w:tcPr>
            <w:tcW w:w="5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stock for services</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(20,093)</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unrealized loss on investments</w:t>
            </w:r>
          </w:p>
        </w:tc>
        <w:tc>
          <w:tcPr>
            <w:tcW w:w="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vMerge w:val="restart"/>
          </w:tcPr>
          <w:p>
            <w:pPr>
              <w:ind w:left="420"/>
              <w:spacing w:after="0"/>
              <w:rPr>
                <w:sz w:val="20"/>
                <w:szCs w:val="20"/>
                <w:color w:val="auto"/>
              </w:rPr>
            </w:pPr>
            <w:r>
              <w:rPr>
                <w:rFonts w:ascii="Arial" w:cs="Arial" w:eastAsia="Arial" w:hAnsi="Arial"/>
                <w:sz w:val="14"/>
                <w:szCs w:val="14"/>
                <w:color w:val="auto"/>
              </w:rPr>
              <w:t>Total comprehensive loss</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 (carried forward)</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22,704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101,014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(73,565)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26,593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CONVERTIBLE PREFERRED STOCK AND STOCKHOLDERS’ EQUITY (NET CAPITAL DEFICIENCY),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9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Accumulated</w:t>
            </w:r>
          </w:p>
        </w:tc>
        <w:tc>
          <w:tcPr>
            <w:tcW w:w="8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980" w:type="dxa"/>
            <w:vAlign w:val="bottom"/>
            <w:tcBorders>
              <w:bottom w:val="single" w:sz="8" w:color="auto"/>
            </w:tcBorders>
            <w:gridSpan w:val="4"/>
          </w:tcPr>
          <w:p>
            <w:pPr>
              <w:ind w:left="40"/>
              <w:spacing w:after="0" w:line="115" w:lineRule="exact"/>
              <w:rPr>
                <w:sz w:val="20"/>
                <w:szCs w:val="20"/>
                <w:color w:val="auto"/>
              </w:rPr>
            </w:pPr>
            <w:r>
              <w:rPr>
                <w:rFonts w:ascii="Arial" w:cs="Arial" w:eastAsia="Arial" w:hAnsi="Arial"/>
                <w:sz w:val="12"/>
                <w:szCs w:val="12"/>
                <w:b w:val="1"/>
                <w:bCs w:val="1"/>
                <w:color w:val="auto"/>
              </w:rPr>
              <w:t>Preferred Stock</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1"/>
              </w:rPr>
              <w:t>Receivable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5"/>
              </w:rPr>
              <w:t>During the</w:t>
            </w: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Equity (Net</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3"/>
                <w:szCs w:val="13"/>
                <w:color w:val="auto"/>
              </w:rPr>
            </w:pPr>
          </w:p>
        </w:tc>
        <w:tc>
          <w:tcPr>
            <w:tcW w:w="800" w:type="dxa"/>
            <w:vAlign w:val="bottom"/>
            <w:gridSpan w:val="2"/>
          </w:tcPr>
          <w:p>
            <w:pPr>
              <w:jc w:val="center"/>
              <w:ind w:right="160"/>
              <w:spacing w:after="0" w:line="156" w:lineRule="exact"/>
              <w:rPr>
                <w:sz w:val="20"/>
                <w:szCs w:val="20"/>
                <w:color w:val="auto"/>
              </w:rPr>
            </w:pPr>
            <w:r>
              <w:rPr>
                <w:rFonts w:ascii="Arial" w:cs="Arial" w:eastAsia="Arial" w:hAnsi="Arial"/>
                <w:sz w:val="14"/>
                <w:szCs w:val="14"/>
                <w:b w:val="1"/>
                <w:bCs w:val="1"/>
                <w:color w:val="auto"/>
                <w:w w:val="89"/>
              </w:rPr>
              <w:t>from</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Deferred</w:t>
            </w:r>
          </w:p>
        </w:tc>
        <w:tc>
          <w:tcPr>
            <w:tcW w:w="940" w:type="dxa"/>
            <w:vAlign w:val="bottom"/>
            <w:gridSpan w:val="3"/>
          </w:tcPr>
          <w:p>
            <w:pPr>
              <w:jc w:val="center"/>
              <w:ind w:right="180"/>
              <w:spacing w:after="0" w:line="156" w:lineRule="exact"/>
              <w:rPr>
                <w:sz w:val="20"/>
                <w:szCs w:val="20"/>
                <w:color w:val="auto"/>
              </w:rPr>
            </w:pPr>
            <w:r>
              <w:rPr>
                <w:rFonts w:ascii="Arial" w:cs="Arial" w:eastAsia="Arial" w:hAnsi="Arial"/>
                <w:sz w:val="14"/>
                <w:szCs w:val="14"/>
                <w:b w:val="1"/>
                <w:bCs w:val="1"/>
                <w:color w:val="auto"/>
                <w:w w:val="86"/>
              </w:rPr>
              <w:t>Development</w:t>
            </w:r>
          </w:p>
        </w:tc>
        <w:tc>
          <w:tcPr>
            <w:tcW w:w="1080" w:type="dxa"/>
            <w:vAlign w:val="bottom"/>
            <w:gridSpan w:val="3"/>
          </w:tcPr>
          <w:p>
            <w:pPr>
              <w:jc w:val="center"/>
              <w:ind w:right="140"/>
              <w:spacing w:after="0" w:line="156"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3"/>
                <w:szCs w:val="13"/>
                <w:color w:val="auto"/>
              </w:rPr>
            </w:pPr>
          </w:p>
        </w:tc>
        <w:tc>
          <w:tcPr>
            <w:tcW w:w="7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Amount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Stockholders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Stage</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Deficiency)</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2005 (brought forward)</w:t>
            </w: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22,704</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101,014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(168)</w:t>
            </w: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80"/>
              <w:spacing w:after="0" w:line="142" w:lineRule="exact"/>
              <w:rPr>
                <w:sz w:val="20"/>
                <w:szCs w:val="20"/>
                <w:color w:val="auto"/>
              </w:rPr>
            </w:pPr>
            <w:r>
              <w:rPr>
                <w:rFonts w:ascii="Arial" w:cs="Arial" w:eastAsia="Arial" w:hAnsi="Arial"/>
                <w:sz w:val="14"/>
                <w:szCs w:val="14"/>
                <w:color w:val="auto"/>
              </w:rPr>
              <w:t>(603)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(73,565)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ind w:left="580"/>
              <w:spacing w:after="0" w:line="142"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26,593</w:t>
            </w:r>
          </w:p>
        </w:tc>
        <w:tc>
          <w:tcPr>
            <w:tcW w:w="0" w:type="dxa"/>
            <w:vAlign w:val="bottom"/>
          </w:tcPr>
          <w:p>
            <w:pPr>
              <w:spacing w:after="0"/>
              <w:rPr>
                <w:sz w:val="1"/>
                <w:szCs w:val="1"/>
                <w:color w:val="auto"/>
              </w:rPr>
            </w:pPr>
          </w:p>
        </w:tc>
      </w:tr>
      <w:tr>
        <w:trPr>
          <w:trHeight w:val="138"/>
        </w:trPr>
        <w:tc>
          <w:tcPr>
            <w:tcW w:w="3340" w:type="dxa"/>
            <w:vAlign w:val="bottom"/>
          </w:tcPr>
          <w:p>
            <w:pPr>
              <w:ind w:left="440"/>
              <w:spacing w:after="0" w:line="138" w:lineRule="exact"/>
              <w:rPr>
                <w:sz w:val="20"/>
                <w:szCs w:val="20"/>
                <w:color w:val="auto"/>
              </w:rPr>
            </w:pPr>
            <w:r>
              <w:rPr>
                <w:rFonts w:ascii="Arial" w:cs="Arial" w:eastAsia="Arial" w:hAnsi="Arial"/>
                <w:sz w:val="14"/>
                <w:szCs w:val="14"/>
                <w:color w:val="auto"/>
                <w:w w:val="92"/>
              </w:rPr>
              <w:t>Sale of common stock in December 2006 at $1.00</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660"/>
              <w:spacing w:after="0" w:line="149" w:lineRule="exact"/>
              <w:rPr>
                <w:sz w:val="20"/>
                <w:szCs w:val="20"/>
                <w:color w:val="auto"/>
              </w:rPr>
            </w:pPr>
            <w:r>
              <w:rPr>
                <w:rFonts w:ascii="Arial" w:cs="Arial" w:eastAsia="Arial" w:hAnsi="Arial"/>
                <w:sz w:val="14"/>
                <w:szCs w:val="14"/>
                <w:color w:val="auto"/>
                <w:w w:val="99"/>
              </w:rPr>
              <w:t>per share for cash, net of issuance costs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tcPr>
          <w:p>
            <w:pPr>
              <w:ind w:left="660"/>
              <w:spacing w:after="0" w:line="159" w:lineRule="exact"/>
              <w:rPr>
                <w:sz w:val="20"/>
                <w:szCs w:val="20"/>
                <w:color w:val="auto"/>
              </w:rPr>
            </w:pPr>
            <w:r>
              <w:rPr>
                <w:rFonts w:ascii="Arial" w:cs="Arial" w:eastAsia="Arial" w:hAnsi="Arial"/>
                <w:sz w:val="14"/>
                <w:szCs w:val="14"/>
                <w:color w:val="auto"/>
              </w:rPr>
              <w:t>approximately $83</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5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2,914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138"/>
        </w:trPr>
        <w:tc>
          <w:tcPr>
            <w:tcW w:w="33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89"/>
              </w:rPr>
              <w:t>Issuance of common stock upon option exercises at</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9"/>
              </w:rPr>
              <w:t>various times for cash at weighted-average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exercise price of $0.73 per share</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8"/>
        </w:trPr>
        <w:tc>
          <w:tcPr>
            <w:tcW w:w="3340" w:type="dxa"/>
            <w:vAlign w:val="bottom"/>
          </w:tcPr>
          <w:p>
            <w:pPr>
              <w:ind w:left="440"/>
              <w:spacing w:after="0" w:line="138" w:lineRule="exact"/>
              <w:rPr>
                <w:sz w:val="20"/>
                <w:szCs w:val="20"/>
                <w:color w:val="auto"/>
              </w:rPr>
            </w:pPr>
            <w:r>
              <w:rPr>
                <w:rFonts w:ascii="Arial" w:cs="Arial" w:eastAsia="Arial" w:hAnsi="Arial"/>
                <w:sz w:val="14"/>
                <w:szCs w:val="14"/>
                <w:color w:val="auto"/>
              </w:rPr>
              <w:t>Issuance of common stock at various times for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660"/>
              <w:spacing w:after="0" w:line="149" w:lineRule="exact"/>
              <w:rPr>
                <w:sz w:val="20"/>
                <w:szCs w:val="20"/>
                <w:color w:val="auto"/>
              </w:rPr>
            </w:pPr>
            <w:r>
              <w:rPr>
                <w:rFonts w:ascii="Arial" w:cs="Arial" w:eastAsia="Arial" w:hAnsi="Arial"/>
                <w:sz w:val="14"/>
                <w:szCs w:val="14"/>
                <w:color w:val="auto"/>
                <w:w w:val="99"/>
              </w:rPr>
              <w:t>services in lieu of cash compensation at an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tcPr>
          <w:p>
            <w:pPr>
              <w:ind w:left="660"/>
              <w:spacing w:after="0" w:line="159" w:lineRule="exact"/>
              <w:rPr>
                <w:sz w:val="20"/>
                <w:szCs w:val="20"/>
                <w:color w:val="auto"/>
              </w:rPr>
            </w:pPr>
            <w:r>
              <w:rPr>
                <w:rFonts w:ascii="Arial" w:cs="Arial" w:eastAsia="Arial" w:hAnsi="Arial"/>
                <w:sz w:val="14"/>
                <w:szCs w:val="14"/>
                <w:color w:val="auto"/>
              </w:rPr>
              <w:t>average value of $4.93 per share</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5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8"/>
        </w:trPr>
        <w:tc>
          <w:tcPr>
            <w:tcW w:w="33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5"/>
              </w:rPr>
              <w:t>Amortization of deferred compensation related to</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94"/>
              </w:rPr>
              <w:t>options granted to employees prior to the IPO</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375</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38"/>
        </w:trPr>
        <w:tc>
          <w:tcPr>
            <w:tcW w:w="3340" w:type="dxa"/>
            <w:vAlign w:val="bottom"/>
          </w:tcPr>
          <w:p>
            <w:pPr>
              <w:ind w:left="440"/>
              <w:spacing w:after="0" w:line="138" w:lineRule="exact"/>
              <w:rPr>
                <w:sz w:val="20"/>
                <w:szCs w:val="20"/>
                <w:color w:val="auto"/>
              </w:rPr>
            </w:pPr>
            <w:r>
              <w:rPr>
                <w:rFonts w:ascii="Arial" w:cs="Arial" w:eastAsia="Arial" w:hAnsi="Arial"/>
                <w:sz w:val="14"/>
                <w:szCs w:val="14"/>
                <w:color w:val="auto"/>
              </w:rPr>
              <w:t>Stock-based compensation under SFAS 123R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660"/>
              <w:spacing w:after="0" w:line="149" w:lineRule="exact"/>
              <w:rPr>
                <w:sz w:val="20"/>
                <w:szCs w:val="20"/>
                <w:color w:val="auto"/>
              </w:rPr>
            </w:pPr>
            <w:r>
              <w:rPr>
                <w:rFonts w:ascii="Arial" w:cs="Arial" w:eastAsia="Arial" w:hAnsi="Arial"/>
                <w:sz w:val="14"/>
                <w:szCs w:val="14"/>
                <w:color w:val="auto"/>
                <w:w w:val="95"/>
              </w:rPr>
              <w:t>related to employee options granted after the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tcPr>
          <w:p>
            <w:pPr>
              <w:ind w:left="660"/>
              <w:spacing w:after="0" w:line="159" w:lineRule="exact"/>
              <w:rPr>
                <w:sz w:val="20"/>
                <w:szCs w:val="20"/>
                <w:color w:val="auto"/>
              </w:rPr>
            </w:pPr>
            <w:r>
              <w:rPr>
                <w:rFonts w:ascii="Arial" w:cs="Arial" w:eastAsia="Arial" w:hAnsi="Arial"/>
                <w:sz w:val="14"/>
                <w:szCs w:val="14"/>
                <w:color w:val="auto"/>
              </w:rPr>
              <w:t>IPO</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1,118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138"/>
        </w:trPr>
        <w:tc>
          <w:tcPr>
            <w:tcW w:w="33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7"/>
              </w:rPr>
              <w:t>Stock-based compensation related to options to</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4"/>
              </w:rPr>
              <w:t>consultants at various times at prices ranging</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from $0.10 to $10.06</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8"/>
        </w:trPr>
        <w:tc>
          <w:tcPr>
            <w:tcW w:w="3340" w:type="dxa"/>
            <w:vAlign w:val="bottom"/>
          </w:tcPr>
          <w:p>
            <w:pPr>
              <w:ind w:left="440"/>
              <w:spacing w:after="0" w:line="138" w:lineRule="exact"/>
              <w:rPr>
                <w:sz w:val="20"/>
                <w:szCs w:val="20"/>
                <w:color w:val="auto"/>
              </w:rPr>
            </w:pPr>
            <w:r>
              <w:rPr>
                <w:rFonts w:ascii="Arial" w:cs="Arial" w:eastAsia="Arial" w:hAnsi="Arial"/>
                <w:sz w:val="14"/>
                <w:szCs w:val="14"/>
                <w:color w:val="auto"/>
                <w:w w:val="98"/>
              </w:rPr>
              <w:t>Reversal of previously expensed compensation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660"/>
              <w:spacing w:after="0" w:line="149" w:lineRule="exact"/>
              <w:rPr>
                <w:sz w:val="20"/>
                <w:szCs w:val="20"/>
                <w:color w:val="auto"/>
              </w:rPr>
            </w:pPr>
            <w:r>
              <w:rPr>
                <w:rFonts w:ascii="Arial" w:cs="Arial" w:eastAsia="Arial" w:hAnsi="Arial"/>
                <w:sz w:val="14"/>
                <w:szCs w:val="14"/>
                <w:color w:val="auto"/>
                <w:w w:val="94"/>
              </w:rPr>
              <w:t>related to employees terminated or converted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tcPr>
          <w:p>
            <w:pPr>
              <w:ind w:left="660"/>
              <w:spacing w:after="0" w:line="159" w:lineRule="exact"/>
              <w:rPr>
                <w:sz w:val="20"/>
                <w:szCs w:val="20"/>
                <w:color w:val="auto"/>
              </w:rPr>
            </w:pPr>
            <w:r>
              <w:rPr>
                <w:rFonts w:ascii="Arial" w:cs="Arial" w:eastAsia="Arial" w:hAnsi="Arial"/>
                <w:sz w:val="14"/>
                <w:szCs w:val="14"/>
                <w:color w:val="auto"/>
              </w:rPr>
              <w:t>to consultant</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8"/>
        </w:trPr>
        <w:tc>
          <w:tcPr>
            <w:tcW w:w="33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Repayments of notes receivable from stockholders</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in October and December of 2006</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8"/>
        </w:trPr>
        <w:tc>
          <w:tcPr>
            <w:tcW w:w="3340" w:type="dxa"/>
            <w:vAlign w:val="bottom"/>
          </w:tcPr>
          <w:p>
            <w:pPr>
              <w:ind w:left="440"/>
              <w:spacing w:after="0" w:line="138" w:lineRule="exact"/>
              <w:rPr>
                <w:sz w:val="20"/>
                <w:szCs w:val="20"/>
                <w:color w:val="auto"/>
              </w:rPr>
            </w:pPr>
            <w:r>
              <w:rPr>
                <w:rFonts w:ascii="Arial" w:cs="Arial" w:eastAsia="Arial" w:hAnsi="Arial"/>
                <w:sz w:val="14"/>
                <w:szCs w:val="14"/>
                <w:color w:val="auto"/>
              </w:rPr>
              <w:t>Stock-based compensation related to lapsing</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660"/>
              <w:spacing w:after="0" w:line="149" w:lineRule="exact"/>
              <w:rPr>
                <w:sz w:val="20"/>
                <w:szCs w:val="20"/>
                <w:color w:val="auto"/>
              </w:rPr>
            </w:pPr>
            <w:r>
              <w:rPr>
                <w:rFonts w:ascii="Arial" w:cs="Arial" w:eastAsia="Arial" w:hAnsi="Arial"/>
                <w:sz w:val="14"/>
                <w:szCs w:val="14"/>
                <w:color w:val="auto"/>
              </w:rPr>
              <w:t>repurchase right of stock held by a non-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tcPr>
          <w:p>
            <w:pPr>
              <w:ind w:left="660"/>
              <w:spacing w:after="0" w:line="159" w:lineRule="exact"/>
              <w:rPr>
                <w:sz w:val="20"/>
                <w:szCs w:val="20"/>
                <w:color w:val="auto"/>
              </w:rPr>
            </w:pPr>
            <w:r>
              <w:rPr>
                <w:rFonts w:ascii="Arial" w:cs="Arial" w:eastAsia="Arial" w:hAnsi="Arial"/>
                <w:sz w:val="14"/>
                <w:szCs w:val="14"/>
                <w:color w:val="auto"/>
              </w:rPr>
              <w:t>employee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(24,873)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(24,873)</w:t>
            </w:r>
          </w:p>
        </w:tc>
        <w:tc>
          <w:tcPr>
            <w:tcW w:w="0" w:type="dxa"/>
            <w:vAlign w:val="bottom"/>
          </w:tcPr>
          <w:p>
            <w:pPr>
              <w:spacing w:after="0"/>
              <w:rPr>
                <w:sz w:val="1"/>
                <w:szCs w:val="1"/>
                <w:color w:val="auto"/>
              </w:rPr>
            </w:pPr>
          </w:p>
        </w:tc>
      </w:tr>
      <w:tr>
        <w:trPr>
          <w:trHeight w:val="149"/>
        </w:trPr>
        <w:tc>
          <w:tcPr>
            <w:tcW w:w="3340" w:type="dxa"/>
            <w:vAlign w:val="bottom"/>
          </w:tcPr>
          <w:p>
            <w:pPr>
              <w:ind w:left="440"/>
              <w:spacing w:after="0" w:line="149" w:lineRule="exact"/>
              <w:rPr>
                <w:sz w:val="20"/>
                <w:szCs w:val="20"/>
                <w:color w:val="auto"/>
              </w:rPr>
            </w:pPr>
            <w:r>
              <w:rPr>
                <w:rFonts w:ascii="Arial" w:cs="Arial" w:eastAsia="Arial" w:hAnsi="Arial"/>
                <w:sz w:val="14"/>
                <w:szCs w:val="14"/>
                <w:color w:val="auto"/>
              </w:rPr>
              <w:t>Change in unrealized loss on investments</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comprehensive loss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(24,765)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Balance at December 31, 2006 (carried forward)</w:t>
            </w: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vMerge w:val="continue"/>
          </w:tcPr>
          <w:p>
            <w:pPr>
              <w:spacing w:after="0"/>
              <w:rPr>
                <w:sz w:val="13"/>
                <w:szCs w:val="13"/>
                <w:color w:val="auto"/>
              </w:rPr>
            </w:pPr>
          </w:p>
        </w:tc>
        <w:tc>
          <w:tcPr>
            <w:tcW w:w="4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25,732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105,125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(228)</w:t>
            </w:r>
          </w:p>
        </w:tc>
        <w:tc>
          <w:tcPr>
            <w:tcW w:w="8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(98,438)</w:t>
            </w:r>
          </w:p>
        </w:tc>
        <w:tc>
          <w:tcPr>
            <w:tcW w:w="80" w:type="dxa"/>
            <w:vAlign w:val="bottom"/>
          </w:tcPr>
          <w:p>
            <w:pPr>
              <w:spacing w:after="0"/>
              <w:rPr>
                <w:sz w:val="13"/>
                <w:szCs w:val="13"/>
                <w:color w:val="auto"/>
              </w:rPr>
            </w:pPr>
          </w:p>
        </w:tc>
        <w:tc>
          <w:tcPr>
            <w:tcW w:w="10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CONVERTIBLE PREFERRED STOCK AND STOCKHOLDERS’ EQUITY (NET CAPITAL DEFICIENCY),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338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Notes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84"/>
              </w:rPr>
              <w:t>Accumulated</w:t>
            </w:r>
          </w:p>
        </w:tc>
        <w:tc>
          <w:tcPr>
            <w:tcW w:w="8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000" w:type="dxa"/>
            <w:vAlign w:val="bottom"/>
            <w:tcBorders>
              <w:bottom w:val="single" w:sz="8" w:color="auto"/>
            </w:tcBorders>
            <w:gridSpan w:val="4"/>
          </w:tcPr>
          <w:p>
            <w:pPr>
              <w:ind w:left="40"/>
              <w:spacing w:after="0" w:line="115" w:lineRule="exact"/>
              <w:rPr>
                <w:sz w:val="20"/>
                <w:szCs w:val="20"/>
                <w:color w:val="auto"/>
              </w:rPr>
            </w:pPr>
            <w:r>
              <w:rPr>
                <w:rFonts w:ascii="Arial" w:cs="Arial" w:eastAsia="Arial" w:hAnsi="Arial"/>
                <w:sz w:val="12"/>
                <w:szCs w:val="12"/>
                <w:b w:val="1"/>
                <w:bCs w:val="1"/>
                <w:color w:val="auto"/>
              </w:rPr>
              <w:t>Preferred Stock</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1"/>
              </w:rPr>
              <w:t>Receivable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8"/>
              </w:rPr>
              <w:t>During the</w:t>
            </w:r>
          </w:p>
        </w:tc>
        <w:tc>
          <w:tcPr>
            <w:tcW w:w="80" w:type="dxa"/>
            <w:vAlign w:val="bottom"/>
          </w:tcPr>
          <w:p>
            <w:pPr>
              <w:spacing w:after="0"/>
              <w:rPr>
                <w:sz w:val="11"/>
                <w:szCs w:val="11"/>
                <w:color w:val="auto"/>
              </w:rPr>
            </w:pPr>
          </w:p>
        </w:tc>
        <w:tc>
          <w:tcPr>
            <w:tcW w:w="9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Equity (Net</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00"/>
              <w:spacing w:after="0" w:line="156"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3"/>
                <w:szCs w:val="13"/>
                <w:color w:val="auto"/>
              </w:rPr>
            </w:pPr>
          </w:p>
        </w:tc>
        <w:tc>
          <w:tcPr>
            <w:tcW w:w="8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6"/>
              </w:rPr>
              <w:t>from</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Deferred</w:t>
            </w:r>
          </w:p>
        </w:tc>
        <w:tc>
          <w:tcPr>
            <w:tcW w:w="940" w:type="dxa"/>
            <w:vAlign w:val="bottom"/>
            <w:gridSpan w:val="3"/>
          </w:tcPr>
          <w:p>
            <w:pPr>
              <w:jc w:val="center"/>
              <w:ind w:right="180"/>
              <w:spacing w:after="0" w:line="156" w:lineRule="exact"/>
              <w:rPr>
                <w:sz w:val="20"/>
                <w:szCs w:val="20"/>
                <w:color w:val="auto"/>
              </w:rPr>
            </w:pPr>
            <w:r>
              <w:rPr>
                <w:rFonts w:ascii="Arial" w:cs="Arial" w:eastAsia="Arial" w:hAnsi="Arial"/>
                <w:sz w:val="14"/>
                <w:szCs w:val="14"/>
                <w:b w:val="1"/>
                <w:bCs w:val="1"/>
                <w:color w:val="auto"/>
                <w:w w:val="86"/>
              </w:rPr>
              <w:t>Development</w:t>
            </w:r>
          </w:p>
        </w:tc>
        <w:tc>
          <w:tcPr>
            <w:tcW w:w="1020" w:type="dxa"/>
            <w:vAlign w:val="bottom"/>
            <w:gridSpan w:val="3"/>
          </w:tcPr>
          <w:p>
            <w:pPr>
              <w:jc w:val="right"/>
              <w:ind w:right="120"/>
              <w:spacing w:after="0" w:line="156" w:lineRule="exact"/>
              <w:rPr>
                <w:sz w:val="20"/>
                <w:szCs w:val="20"/>
                <w:color w:val="auto"/>
              </w:rPr>
            </w:pPr>
            <w:r>
              <w:rPr>
                <w:rFonts w:ascii="Arial" w:cs="Arial" w:eastAsia="Arial" w:hAnsi="Arial"/>
                <w:sz w:val="14"/>
                <w:szCs w:val="14"/>
                <w:b w:val="1"/>
                <w:bCs w:val="1"/>
                <w:color w:val="auto"/>
                <w:w w:val="83"/>
              </w:rPr>
              <w:t>Comprehensive</w:t>
            </w:r>
          </w:p>
        </w:tc>
        <w:tc>
          <w:tcPr>
            <w:tcW w:w="80" w:type="dxa"/>
            <w:vAlign w:val="bottom"/>
          </w:tcPr>
          <w:p>
            <w:pPr>
              <w:spacing w:after="0"/>
              <w:rPr>
                <w:sz w:val="13"/>
                <w:szCs w:val="13"/>
                <w:color w:val="auto"/>
              </w:rPr>
            </w:pPr>
          </w:p>
        </w:tc>
        <w:tc>
          <w:tcPr>
            <w:tcW w:w="7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Shares</w:t>
            </w:r>
          </w:p>
        </w:tc>
        <w:tc>
          <w:tcPr>
            <w:tcW w:w="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6"/>
              </w:rPr>
              <w:t>Stockholders</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Stage</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Deficiency)</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2006 (brought forward)</w:t>
            </w: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5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25,732</w:t>
            </w:r>
          </w:p>
        </w:tc>
        <w:tc>
          <w:tcPr>
            <w:tcW w:w="2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105,125</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(125)</w:t>
            </w:r>
          </w:p>
        </w:tc>
        <w:tc>
          <w:tcPr>
            <w:tcW w:w="18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(228)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(98,438)</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r>
        <w:trPr>
          <w:trHeight w:val="138"/>
        </w:trPr>
        <w:tc>
          <w:tcPr>
            <w:tcW w:w="3380" w:type="dxa"/>
            <w:vAlign w:val="bottom"/>
          </w:tcPr>
          <w:p>
            <w:pPr>
              <w:ind w:left="440"/>
              <w:spacing w:after="0" w:line="138" w:lineRule="exact"/>
              <w:rPr>
                <w:sz w:val="20"/>
                <w:szCs w:val="20"/>
                <w:color w:val="auto"/>
              </w:rPr>
            </w:pPr>
            <w:r>
              <w:rPr>
                <w:rFonts w:ascii="Arial" w:cs="Arial" w:eastAsia="Arial" w:hAnsi="Arial"/>
                <w:sz w:val="14"/>
                <w:szCs w:val="14"/>
                <w:color w:val="auto"/>
                <w:w w:val="94"/>
              </w:rPr>
              <w:t>Sale of common stock in March 2007 at $1.00 per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660"/>
              <w:spacing w:after="0" w:line="149" w:lineRule="exact"/>
              <w:rPr>
                <w:sz w:val="20"/>
                <w:szCs w:val="20"/>
                <w:color w:val="auto"/>
              </w:rPr>
            </w:pPr>
            <w:r>
              <w:rPr>
                <w:rFonts w:ascii="Arial" w:cs="Arial" w:eastAsia="Arial" w:hAnsi="Arial"/>
                <w:sz w:val="14"/>
                <w:szCs w:val="14"/>
                <w:color w:val="auto"/>
              </w:rPr>
              <w:t>share for cash, net of issuance costs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tcPr>
          <w:p>
            <w:pPr>
              <w:ind w:left="660"/>
              <w:spacing w:after="0" w:line="159" w:lineRule="exact"/>
              <w:rPr>
                <w:sz w:val="20"/>
                <w:szCs w:val="20"/>
                <w:color w:val="auto"/>
              </w:rPr>
            </w:pPr>
            <w:r>
              <w:rPr>
                <w:rFonts w:ascii="Arial" w:cs="Arial" w:eastAsia="Arial" w:hAnsi="Arial"/>
                <w:sz w:val="14"/>
                <w:szCs w:val="14"/>
                <w:color w:val="auto"/>
              </w:rPr>
              <w:t>approximately $151</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5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9,000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8,840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8,849</w:t>
            </w: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Sale of common stock in August &amp; September 2007</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88"/>
              </w:rPr>
              <w:t>at $2.10 per share for cash, net of issuance costs</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of approximately $64</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4,790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9,991</w:t>
            </w: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9,996</w:t>
            </w:r>
          </w:p>
        </w:tc>
        <w:tc>
          <w:tcPr>
            <w:tcW w:w="0" w:type="dxa"/>
            <w:vAlign w:val="bottom"/>
          </w:tcPr>
          <w:p>
            <w:pPr>
              <w:spacing w:after="0"/>
              <w:rPr>
                <w:sz w:val="1"/>
                <w:szCs w:val="1"/>
                <w:color w:val="auto"/>
              </w:rPr>
            </w:pPr>
          </w:p>
        </w:tc>
      </w:tr>
      <w:tr>
        <w:trPr>
          <w:trHeight w:val="138"/>
        </w:trPr>
        <w:tc>
          <w:tcPr>
            <w:tcW w:w="3380" w:type="dxa"/>
            <w:vAlign w:val="bottom"/>
          </w:tcPr>
          <w:p>
            <w:pPr>
              <w:ind w:left="440"/>
              <w:spacing w:after="0" w:line="138" w:lineRule="exact"/>
              <w:rPr>
                <w:sz w:val="20"/>
                <w:szCs w:val="20"/>
                <w:color w:val="auto"/>
              </w:rPr>
            </w:pPr>
            <w:r>
              <w:rPr>
                <w:rFonts w:ascii="Arial" w:cs="Arial" w:eastAsia="Arial" w:hAnsi="Arial"/>
                <w:sz w:val="14"/>
                <w:szCs w:val="14"/>
                <w:color w:val="auto"/>
                <w:w w:val="90"/>
              </w:rPr>
              <w:t>Issuance of common stock upon option exercises at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660"/>
              <w:spacing w:after="0" w:line="149" w:lineRule="exact"/>
              <w:rPr>
                <w:sz w:val="20"/>
                <w:szCs w:val="20"/>
                <w:color w:val="auto"/>
              </w:rPr>
            </w:pPr>
            <w:r>
              <w:rPr>
                <w:rFonts w:ascii="Arial" w:cs="Arial" w:eastAsia="Arial" w:hAnsi="Arial"/>
                <w:sz w:val="14"/>
                <w:szCs w:val="14"/>
                <w:color w:val="auto"/>
              </w:rPr>
              <w:t>various times for cash at weighted-average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tcPr>
          <w:p>
            <w:pPr>
              <w:ind w:left="660"/>
              <w:spacing w:after="0" w:line="159" w:lineRule="exact"/>
              <w:rPr>
                <w:sz w:val="20"/>
                <w:szCs w:val="20"/>
                <w:color w:val="auto"/>
              </w:rPr>
            </w:pPr>
            <w:r>
              <w:rPr>
                <w:rFonts w:ascii="Arial" w:cs="Arial" w:eastAsia="Arial" w:hAnsi="Arial"/>
                <w:sz w:val="14"/>
                <w:szCs w:val="14"/>
                <w:color w:val="auto"/>
              </w:rPr>
              <w:t>exercise price of $0.79 per share</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5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Amortization of deferred compensation related to</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95"/>
              </w:rPr>
              <w:t>options granted to employees prior to the IPO</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8"/>
        </w:trPr>
        <w:tc>
          <w:tcPr>
            <w:tcW w:w="3380" w:type="dxa"/>
            <w:vAlign w:val="bottom"/>
          </w:tcPr>
          <w:p>
            <w:pPr>
              <w:ind w:left="440"/>
              <w:spacing w:after="0" w:line="138" w:lineRule="exact"/>
              <w:rPr>
                <w:sz w:val="20"/>
                <w:szCs w:val="20"/>
                <w:color w:val="auto"/>
              </w:rPr>
            </w:pPr>
            <w:r>
              <w:rPr>
                <w:rFonts w:ascii="Arial" w:cs="Arial" w:eastAsia="Arial" w:hAnsi="Arial"/>
                <w:sz w:val="14"/>
                <w:szCs w:val="14"/>
                <w:color w:val="auto"/>
              </w:rPr>
              <w:t>Stock-based compensation under SFAS 123R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660"/>
              <w:spacing w:after="0" w:line="149" w:lineRule="exact"/>
              <w:rPr>
                <w:sz w:val="20"/>
                <w:szCs w:val="20"/>
                <w:color w:val="auto"/>
              </w:rPr>
            </w:pPr>
            <w:r>
              <w:rPr>
                <w:rFonts w:ascii="Arial" w:cs="Arial" w:eastAsia="Arial" w:hAnsi="Arial"/>
                <w:sz w:val="14"/>
                <w:szCs w:val="14"/>
                <w:color w:val="auto"/>
                <w:w w:val="96"/>
              </w:rPr>
              <w:t>related to employee options granted after the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tcPr>
          <w:p>
            <w:pPr>
              <w:ind w:left="660"/>
              <w:spacing w:after="0" w:line="159" w:lineRule="exact"/>
              <w:rPr>
                <w:sz w:val="20"/>
                <w:szCs w:val="20"/>
                <w:color w:val="auto"/>
              </w:rPr>
            </w:pPr>
            <w:r>
              <w:rPr>
                <w:rFonts w:ascii="Arial" w:cs="Arial" w:eastAsia="Arial" w:hAnsi="Arial"/>
                <w:sz w:val="14"/>
                <w:szCs w:val="14"/>
                <w:color w:val="auto"/>
              </w:rPr>
              <w:t>IPO</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8"/>
              </w:rPr>
              <w:t>Stock-based compensation related to options to</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6"/>
              </w:rPr>
              <w:t>consultants at various times at prices ranging</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from $0.10 to $10.06</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8"/>
        </w:trPr>
        <w:tc>
          <w:tcPr>
            <w:tcW w:w="3380" w:type="dxa"/>
            <w:vAlign w:val="bottom"/>
          </w:tcPr>
          <w:p>
            <w:pPr>
              <w:ind w:left="440"/>
              <w:spacing w:after="0" w:line="138" w:lineRule="exact"/>
              <w:rPr>
                <w:sz w:val="20"/>
                <w:szCs w:val="20"/>
                <w:color w:val="auto"/>
              </w:rPr>
            </w:pPr>
            <w:r>
              <w:rPr>
                <w:rFonts w:ascii="Arial" w:cs="Arial" w:eastAsia="Arial" w:hAnsi="Arial"/>
                <w:sz w:val="14"/>
                <w:szCs w:val="14"/>
                <w:color w:val="auto"/>
                <w:w w:val="93"/>
              </w:rPr>
              <w:t>Reduction of deferred compensation related to the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660"/>
              <w:spacing w:after="0" w:line="149" w:lineRule="exact"/>
              <w:rPr>
                <w:sz w:val="20"/>
                <w:szCs w:val="20"/>
                <w:color w:val="auto"/>
              </w:rPr>
            </w:pPr>
            <w:r>
              <w:rPr>
                <w:rFonts w:ascii="Arial" w:cs="Arial" w:eastAsia="Arial" w:hAnsi="Arial"/>
                <w:sz w:val="14"/>
                <w:szCs w:val="14"/>
                <w:color w:val="auto"/>
              </w:rPr>
              <w:t>unamortized portion of deferred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660"/>
              <w:spacing w:after="0" w:line="149" w:lineRule="exact"/>
              <w:rPr>
                <w:sz w:val="20"/>
                <w:szCs w:val="20"/>
                <w:color w:val="auto"/>
              </w:rPr>
            </w:pPr>
            <w:r>
              <w:rPr>
                <w:rFonts w:ascii="Arial" w:cs="Arial" w:eastAsia="Arial" w:hAnsi="Arial"/>
                <w:sz w:val="14"/>
                <w:szCs w:val="14"/>
                <w:color w:val="auto"/>
                <w:w w:val="99"/>
              </w:rPr>
              <w:t>compensation related to unvested shares at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tcPr>
          <w:p>
            <w:pPr>
              <w:ind w:left="660"/>
              <w:spacing w:after="0" w:line="159" w:lineRule="exact"/>
              <w:rPr>
                <w:sz w:val="20"/>
                <w:szCs w:val="20"/>
                <w:color w:val="auto"/>
              </w:rPr>
            </w:pPr>
            <w:r>
              <w:rPr>
                <w:rFonts w:ascii="Arial" w:cs="Arial" w:eastAsia="Arial" w:hAnsi="Arial"/>
                <w:sz w:val="14"/>
                <w:szCs w:val="14"/>
                <w:color w:val="auto"/>
              </w:rPr>
              <w:t>termination of employees</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(119)</w:t>
            </w:r>
          </w:p>
        </w:tc>
        <w:tc>
          <w:tcPr>
            <w:tcW w:w="14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119</w:t>
            </w: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9"/>
              </w:rPr>
              <w:t>Reversal of previously expensed compensation</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related to employees terminated</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(418)</w:t>
            </w:r>
          </w:p>
        </w:tc>
        <w:tc>
          <w:tcPr>
            <w:tcW w:w="14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38"/>
        </w:trPr>
        <w:tc>
          <w:tcPr>
            <w:tcW w:w="3380" w:type="dxa"/>
            <w:vAlign w:val="bottom"/>
          </w:tcPr>
          <w:p>
            <w:pPr>
              <w:ind w:left="440"/>
              <w:spacing w:after="0" w:line="138" w:lineRule="exact"/>
              <w:rPr>
                <w:sz w:val="20"/>
                <w:szCs w:val="20"/>
                <w:color w:val="auto"/>
              </w:rPr>
            </w:pPr>
            <w:r>
              <w:rPr>
                <w:rFonts w:ascii="Arial" w:cs="Arial" w:eastAsia="Arial" w:hAnsi="Arial"/>
                <w:sz w:val="14"/>
                <w:szCs w:val="14"/>
                <w:color w:val="auto"/>
                <w:w w:val="92"/>
              </w:rPr>
              <w:t>Repayments of notes receivable from stockholders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tcPr>
          <w:p>
            <w:pPr>
              <w:ind w:left="660"/>
              <w:spacing w:after="0" w:line="159" w:lineRule="exact"/>
              <w:rPr>
                <w:sz w:val="20"/>
                <w:szCs w:val="20"/>
                <w:color w:val="auto"/>
              </w:rPr>
            </w:pPr>
            <w:r>
              <w:rPr>
                <w:rFonts w:ascii="Arial" w:cs="Arial" w:eastAsia="Arial" w:hAnsi="Arial"/>
                <w:sz w:val="14"/>
                <w:szCs w:val="14"/>
                <w:color w:val="auto"/>
              </w:rPr>
              <w:t>in March and October 2007</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(11,573)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(11,573)</w:t>
            </w:r>
          </w:p>
        </w:tc>
        <w:tc>
          <w:tcPr>
            <w:tcW w:w="0" w:type="dxa"/>
            <w:vAlign w:val="bottom"/>
          </w:tcPr>
          <w:p>
            <w:pPr>
              <w:spacing w:after="0"/>
              <w:rPr>
                <w:sz w:val="1"/>
                <w:szCs w:val="1"/>
                <w:color w:val="auto"/>
              </w:rPr>
            </w:pPr>
          </w:p>
        </w:tc>
      </w:tr>
      <w:tr>
        <w:trPr>
          <w:trHeight w:val="149"/>
        </w:trPr>
        <w:tc>
          <w:tcPr>
            <w:tcW w:w="3380" w:type="dxa"/>
            <w:vAlign w:val="bottom"/>
          </w:tcPr>
          <w:p>
            <w:pPr>
              <w:ind w:left="440"/>
              <w:spacing w:after="0" w:line="149" w:lineRule="exact"/>
              <w:rPr>
                <w:sz w:val="20"/>
                <w:szCs w:val="20"/>
                <w:color w:val="auto"/>
              </w:rPr>
            </w:pPr>
            <w:r>
              <w:rPr>
                <w:rFonts w:ascii="Arial" w:cs="Arial" w:eastAsia="Arial" w:hAnsi="Arial"/>
                <w:sz w:val="14"/>
                <w:szCs w:val="14"/>
                <w:color w:val="auto"/>
              </w:rPr>
              <w:t>Change in unrealized gain on investments</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comprehensive loss</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(11,570)</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color w:val="auto"/>
              </w:rPr>
              <w:t>Balance at December 31, 2007 (carried forward)</w:t>
            </w: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vMerge w:val="continue"/>
          </w:tcPr>
          <w:p>
            <w:pPr>
              <w:spacing w:after="0"/>
              <w:rPr>
                <w:sz w:val="13"/>
                <w:szCs w:val="13"/>
                <w:color w:val="auto"/>
              </w:rPr>
            </w:pPr>
          </w:p>
        </w:tc>
        <w:tc>
          <w:tcPr>
            <w:tcW w:w="4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3"/>
              </w:rPr>
              <w:t>39,548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40</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124,822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3"/>
                <w:szCs w:val="13"/>
                <w:color w:val="auto"/>
              </w:rPr>
            </w:pP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(110,011)</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14,734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CONVERTIBLE PREFERRED STOCK AND STOCKHOLDERS’ EQUITY (NET CAPITAL DEFICIENCY),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0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00" w:type="dxa"/>
            <w:vAlign w:val="bottom"/>
            <w:tcBorders>
              <w:bottom w:val="single" w:sz="8" w:color="auto"/>
            </w:tcBorders>
            <w:gridSpan w:val="4"/>
          </w:tcPr>
          <w:p>
            <w:pPr>
              <w:ind w:left="40"/>
              <w:spacing w:after="0" w:line="115" w:lineRule="exact"/>
              <w:rPr>
                <w:sz w:val="20"/>
                <w:szCs w:val="20"/>
                <w:color w:val="auto"/>
              </w:rPr>
            </w:pPr>
            <w:r>
              <w:rPr>
                <w:rFonts w:ascii="Arial" w:cs="Arial" w:eastAsia="Arial" w:hAnsi="Arial"/>
                <w:sz w:val="12"/>
                <w:szCs w:val="12"/>
                <w:b w:val="1"/>
                <w:bCs w:val="1"/>
                <w:color w:val="auto"/>
              </w:rPr>
              <w:t>Preferred Stock</w:t>
            </w: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bottom w:val="single" w:sz="8" w:color="auto"/>
            </w:tcBorders>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1"/>
              </w:rPr>
              <w:t>Receivable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5"/>
              </w:rPr>
              <w:t>During the</w:t>
            </w:r>
          </w:p>
        </w:tc>
        <w:tc>
          <w:tcPr>
            <w:tcW w:w="10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8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Equity (Net</w:t>
            </w: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line="156"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3"/>
                <w:szCs w:val="13"/>
                <w:color w:val="auto"/>
              </w:rPr>
            </w:pPr>
          </w:p>
        </w:tc>
        <w:tc>
          <w:tcPr>
            <w:tcW w:w="80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from</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w w:val="93"/>
              </w:rPr>
              <w:t>Deferred</w:t>
            </w:r>
          </w:p>
        </w:tc>
        <w:tc>
          <w:tcPr>
            <w:tcW w:w="94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Development</w:t>
            </w:r>
          </w:p>
        </w:tc>
        <w:tc>
          <w:tcPr>
            <w:tcW w:w="80" w:type="dxa"/>
            <w:vAlign w:val="bottom"/>
          </w:tcPr>
          <w:p>
            <w:pPr>
              <w:spacing w:after="0"/>
              <w:rPr>
                <w:sz w:val="13"/>
                <w:szCs w:val="13"/>
                <w:color w:val="auto"/>
              </w:rPr>
            </w:pPr>
          </w:p>
        </w:tc>
        <w:tc>
          <w:tcPr>
            <w:tcW w:w="10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7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76"/>
              </w:rPr>
              <w:t>Shares</w:t>
            </w:r>
          </w:p>
        </w:tc>
        <w:tc>
          <w:tcPr>
            <w:tcW w:w="14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Amount</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76"/>
              </w:rPr>
              <w:t>Shares</w:t>
            </w:r>
          </w:p>
        </w:tc>
        <w:tc>
          <w:tcPr>
            <w:tcW w:w="1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3"/>
              </w:rPr>
              <w:t>Stockholders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Stage</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Deficiency)</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2007 (brought forward)</w:t>
            </w: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39,548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124,822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(107)</w:t>
            </w: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(110,011)</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14,734</w:t>
            </w:r>
          </w:p>
        </w:tc>
        <w:tc>
          <w:tcPr>
            <w:tcW w:w="0" w:type="dxa"/>
            <w:vAlign w:val="bottom"/>
          </w:tcPr>
          <w:p>
            <w:pPr>
              <w:spacing w:after="0"/>
              <w:rPr>
                <w:sz w:val="1"/>
                <w:szCs w:val="1"/>
                <w:color w:val="auto"/>
              </w:rPr>
            </w:pPr>
          </w:p>
        </w:tc>
      </w:tr>
      <w:tr>
        <w:trPr>
          <w:trHeight w:val="138"/>
        </w:trPr>
        <w:tc>
          <w:tcPr>
            <w:tcW w:w="3320" w:type="dxa"/>
            <w:vAlign w:val="bottom"/>
          </w:tcPr>
          <w:p>
            <w:pPr>
              <w:ind w:left="440"/>
              <w:spacing w:after="0" w:line="138" w:lineRule="exact"/>
              <w:rPr>
                <w:sz w:val="20"/>
                <w:szCs w:val="20"/>
                <w:color w:val="auto"/>
              </w:rPr>
            </w:pPr>
            <w:r>
              <w:rPr>
                <w:rFonts w:ascii="Arial" w:cs="Arial" w:eastAsia="Arial" w:hAnsi="Arial"/>
                <w:sz w:val="14"/>
                <w:szCs w:val="14"/>
                <w:color w:val="auto"/>
                <w:w w:val="91"/>
              </w:rPr>
              <w:t>Sale of common stock and issuance of warrants in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660"/>
              <w:spacing w:after="0" w:line="149" w:lineRule="exact"/>
              <w:rPr>
                <w:sz w:val="20"/>
                <w:szCs w:val="20"/>
                <w:color w:val="auto"/>
              </w:rPr>
            </w:pPr>
            <w:r>
              <w:rPr>
                <w:rFonts w:ascii="Arial" w:cs="Arial" w:eastAsia="Arial" w:hAnsi="Arial"/>
                <w:sz w:val="14"/>
                <w:szCs w:val="14"/>
                <w:color w:val="auto"/>
              </w:rPr>
              <w:t>March 2008 at $2.83 per unit for cash and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660"/>
              <w:spacing w:after="0" w:line="149" w:lineRule="exact"/>
              <w:rPr>
                <w:sz w:val="20"/>
                <w:szCs w:val="20"/>
                <w:color w:val="auto"/>
              </w:rPr>
            </w:pPr>
            <w:r>
              <w:rPr>
                <w:rFonts w:ascii="Arial" w:cs="Arial" w:eastAsia="Arial" w:hAnsi="Arial"/>
                <w:sz w:val="14"/>
                <w:szCs w:val="14"/>
                <w:color w:val="auto"/>
              </w:rPr>
              <w:t>note receivable, net of issuance costs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Pr>
          <w:p>
            <w:pPr>
              <w:ind w:left="660"/>
              <w:spacing w:after="0" w:line="159" w:lineRule="exact"/>
              <w:rPr>
                <w:sz w:val="20"/>
                <w:szCs w:val="20"/>
                <w:color w:val="auto"/>
              </w:rPr>
            </w:pPr>
            <w:r>
              <w:rPr>
                <w:rFonts w:ascii="Arial" w:cs="Arial" w:eastAsia="Arial" w:hAnsi="Arial"/>
                <w:sz w:val="14"/>
                <w:szCs w:val="14"/>
                <w:color w:val="auto"/>
              </w:rPr>
              <w:t>approximately $382</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8,924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24,783</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18,792</w:t>
            </w:r>
          </w:p>
        </w:tc>
        <w:tc>
          <w:tcPr>
            <w:tcW w:w="0" w:type="dxa"/>
            <w:vAlign w:val="bottom"/>
          </w:tcPr>
          <w:p>
            <w:pPr>
              <w:spacing w:after="0"/>
              <w:rPr>
                <w:sz w:val="1"/>
                <w:szCs w:val="1"/>
                <w:color w:val="auto"/>
              </w:rPr>
            </w:pPr>
          </w:p>
        </w:tc>
      </w:tr>
      <w:tr>
        <w:trPr>
          <w:trHeight w:val="138"/>
        </w:trPr>
        <w:tc>
          <w:tcPr>
            <w:tcW w:w="33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3"/>
              </w:rPr>
              <w:t>Sales of common stock in August and September</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2008 under Committed Equity Financing</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Facility (CEFF), at an average discounted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price of $1.85 per share, net of costs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associated with the registration of shares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under the CEFF of $216</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5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w w:val="76"/>
              </w:rPr>
              <w:t>405</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533</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38"/>
        </w:trPr>
        <w:tc>
          <w:tcPr>
            <w:tcW w:w="3320" w:type="dxa"/>
            <w:vAlign w:val="bottom"/>
          </w:tcPr>
          <w:p>
            <w:pPr>
              <w:ind w:left="440"/>
              <w:spacing w:after="0" w:line="138" w:lineRule="exact"/>
              <w:rPr>
                <w:sz w:val="20"/>
                <w:szCs w:val="20"/>
                <w:color w:val="auto"/>
              </w:rPr>
            </w:pPr>
            <w:r>
              <w:rPr>
                <w:rFonts w:ascii="Arial" w:cs="Arial" w:eastAsia="Arial" w:hAnsi="Arial"/>
                <w:sz w:val="14"/>
                <w:szCs w:val="14"/>
                <w:color w:val="auto"/>
                <w:w w:val="95"/>
              </w:rPr>
              <w:t>Issuance of common stock in November 2008 in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660"/>
              <w:spacing w:after="0" w:line="149" w:lineRule="exact"/>
              <w:rPr>
                <w:sz w:val="20"/>
                <w:szCs w:val="20"/>
                <w:color w:val="auto"/>
              </w:rPr>
            </w:pPr>
            <w:r>
              <w:rPr>
                <w:rFonts w:ascii="Arial" w:cs="Arial" w:eastAsia="Arial" w:hAnsi="Arial"/>
                <w:sz w:val="14"/>
                <w:szCs w:val="14"/>
                <w:color w:val="auto"/>
              </w:rPr>
              <w:t>settlement of liquidated damages, net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Pr>
          <w:p>
            <w:pPr>
              <w:ind w:left="660"/>
              <w:spacing w:after="0" w:line="159" w:lineRule="exact"/>
              <w:rPr>
                <w:sz w:val="20"/>
                <w:szCs w:val="20"/>
                <w:color w:val="auto"/>
              </w:rPr>
            </w:pPr>
            <w:r>
              <w:rPr>
                <w:rFonts w:ascii="Arial" w:cs="Arial" w:eastAsia="Arial" w:hAnsi="Arial"/>
                <w:sz w:val="14"/>
                <w:szCs w:val="14"/>
                <w:color w:val="auto"/>
              </w:rPr>
              <w:t>issuance costs of $5</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520" w:type="dxa"/>
            <w:vAlign w:val="bottom"/>
            <w:gridSpan w:val="2"/>
          </w:tcPr>
          <w:p>
            <w:pPr>
              <w:ind w:left="320"/>
              <w:spacing w:after="0" w:line="159" w:lineRule="exact"/>
              <w:rPr>
                <w:sz w:val="20"/>
                <w:szCs w:val="20"/>
                <w:color w:val="auto"/>
              </w:rPr>
            </w:pPr>
            <w:r>
              <w:rPr>
                <w:rFonts w:ascii="Arial" w:cs="Arial" w:eastAsia="Arial" w:hAnsi="Arial"/>
                <w:sz w:val="14"/>
                <w:szCs w:val="14"/>
                <w:color w:val="auto"/>
                <w:w w:val="76"/>
              </w:rPr>
              <w:t>883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1,274</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38"/>
        </w:trPr>
        <w:tc>
          <w:tcPr>
            <w:tcW w:w="33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Issuance of common stock upon option exercise in</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4"/>
              </w:rPr>
              <w:t>September 2008 for cash at exercise price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$1.50 per share</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3320" w:type="dxa"/>
            <w:vAlign w:val="bottom"/>
          </w:tcPr>
          <w:p>
            <w:pPr>
              <w:ind w:left="440"/>
              <w:spacing w:after="0" w:line="138" w:lineRule="exact"/>
              <w:rPr>
                <w:sz w:val="20"/>
                <w:szCs w:val="20"/>
                <w:color w:val="auto"/>
              </w:rPr>
            </w:pPr>
            <w:r>
              <w:rPr>
                <w:rFonts w:ascii="Arial" w:cs="Arial" w:eastAsia="Arial" w:hAnsi="Arial"/>
                <w:sz w:val="14"/>
                <w:szCs w:val="14"/>
                <w:color w:val="auto"/>
              </w:rPr>
              <w:t>Issuance of common stock in February for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660"/>
              <w:spacing w:after="0" w:line="149" w:lineRule="exact"/>
              <w:rPr>
                <w:sz w:val="20"/>
                <w:szCs w:val="20"/>
                <w:color w:val="auto"/>
              </w:rPr>
            </w:pPr>
            <w:r>
              <w:rPr>
                <w:rFonts w:ascii="Arial" w:cs="Arial" w:eastAsia="Arial" w:hAnsi="Arial"/>
                <w:sz w:val="14"/>
                <w:szCs w:val="14"/>
                <w:color w:val="auto"/>
              </w:rPr>
              <w:t>services in lieu of cash compensation at a</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Pr>
          <w:p>
            <w:pPr>
              <w:ind w:left="660"/>
              <w:spacing w:after="0" w:line="159" w:lineRule="exact"/>
              <w:rPr>
                <w:sz w:val="20"/>
                <w:szCs w:val="20"/>
                <w:color w:val="auto"/>
              </w:rPr>
            </w:pPr>
            <w:r>
              <w:rPr>
                <w:rFonts w:ascii="Arial" w:cs="Arial" w:eastAsia="Arial" w:hAnsi="Arial"/>
                <w:sz w:val="14"/>
                <w:szCs w:val="14"/>
                <w:color w:val="auto"/>
              </w:rPr>
              <w:t>value of $2.73 per share</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33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4"/>
              </w:rPr>
              <w:t>Amortization of deferred compensation related to</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93"/>
              </w:rPr>
              <w:t>options granted to employees prior to the IPO</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3320" w:type="dxa"/>
            <w:vAlign w:val="bottom"/>
          </w:tcPr>
          <w:p>
            <w:pPr>
              <w:ind w:left="440"/>
              <w:spacing w:after="0" w:line="138" w:lineRule="exact"/>
              <w:rPr>
                <w:sz w:val="20"/>
                <w:szCs w:val="20"/>
                <w:color w:val="auto"/>
              </w:rPr>
            </w:pPr>
            <w:r>
              <w:rPr>
                <w:rFonts w:ascii="Arial" w:cs="Arial" w:eastAsia="Arial" w:hAnsi="Arial"/>
                <w:sz w:val="14"/>
                <w:szCs w:val="14"/>
                <w:color w:val="auto"/>
                <w:w w:val="99"/>
              </w:rPr>
              <w:t>Stock-based compensation under SFAS 123R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660"/>
              <w:spacing w:after="0" w:line="149" w:lineRule="exact"/>
              <w:rPr>
                <w:sz w:val="20"/>
                <w:szCs w:val="20"/>
                <w:color w:val="auto"/>
              </w:rPr>
            </w:pPr>
            <w:r>
              <w:rPr>
                <w:rFonts w:ascii="Arial" w:cs="Arial" w:eastAsia="Arial" w:hAnsi="Arial"/>
                <w:sz w:val="14"/>
                <w:szCs w:val="14"/>
                <w:color w:val="auto"/>
                <w:w w:val="94"/>
              </w:rPr>
              <w:t>related to employee options granted after the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Pr>
          <w:p>
            <w:pPr>
              <w:ind w:left="660"/>
              <w:spacing w:after="0" w:line="159" w:lineRule="exact"/>
              <w:rPr>
                <w:sz w:val="20"/>
                <w:szCs w:val="20"/>
                <w:color w:val="auto"/>
              </w:rPr>
            </w:pPr>
            <w:r>
              <w:rPr>
                <w:rFonts w:ascii="Arial" w:cs="Arial" w:eastAsia="Arial" w:hAnsi="Arial"/>
                <w:sz w:val="14"/>
                <w:szCs w:val="14"/>
                <w:color w:val="auto"/>
              </w:rPr>
              <w:t>IPO</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1,580</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38"/>
        </w:trPr>
        <w:tc>
          <w:tcPr>
            <w:tcW w:w="33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Stock-based compensation related to options to</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4"/>
              </w:rPr>
              <w:t>consultants at various times at prices ranging</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from $4.90 to $10.06</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8"/>
        </w:trPr>
        <w:tc>
          <w:tcPr>
            <w:tcW w:w="3320" w:type="dxa"/>
            <w:vAlign w:val="bottom"/>
          </w:tcPr>
          <w:p>
            <w:pPr>
              <w:ind w:left="440"/>
              <w:spacing w:after="0" w:line="138" w:lineRule="exact"/>
              <w:rPr>
                <w:sz w:val="20"/>
                <w:szCs w:val="20"/>
                <w:color w:val="auto"/>
              </w:rPr>
            </w:pPr>
            <w:r>
              <w:rPr>
                <w:rFonts w:ascii="Arial" w:cs="Arial" w:eastAsia="Arial" w:hAnsi="Arial"/>
                <w:sz w:val="14"/>
                <w:szCs w:val="14"/>
                <w:color w:val="auto"/>
                <w:w w:val="92"/>
              </w:rPr>
              <w:t>Repayment of note receivable from shareholder in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20" w:type="dxa"/>
            <w:vAlign w:val="bottom"/>
          </w:tcPr>
          <w:p>
            <w:pPr>
              <w:ind w:left="660"/>
              <w:spacing w:after="0" w:line="159" w:lineRule="exact"/>
              <w:rPr>
                <w:sz w:val="20"/>
                <w:szCs w:val="20"/>
                <w:color w:val="auto"/>
              </w:rPr>
            </w:pPr>
            <w:r>
              <w:rPr>
                <w:rFonts w:ascii="Arial" w:cs="Arial" w:eastAsia="Arial" w:hAnsi="Arial"/>
                <w:sz w:val="14"/>
                <w:szCs w:val="14"/>
                <w:color w:val="auto"/>
              </w:rPr>
              <w:t>May 2008</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(20,061)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(20,061)</w:t>
            </w:r>
          </w:p>
        </w:tc>
        <w:tc>
          <w:tcPr>
            <w:tcW w:w="0" w:type="dxa"/>
            <w:vAlign w:val="bottom"/>
          </w:tcPr>
          <w:p>
            <w:pPr>
              <w:spacing w:after="0"/>
              <w:rPr>
                <w:sz w:val="1"/>
                <w:szCs w:val="1"/>
                <w:color w:val="auto"/>
              </w:rPr>
            </w:pPr>
          </w:p>
        </w:tc>
      </w:tr>
      <w:tr>
        <w:trPr>
          <w:trHeight w:val="149"/>
        </w:trPr>
        <w:tc>
          <w:tcPr>
            <w:tcW w:w="3320" w:type="dxa"/>
            <w:vAlign w:val="bottom"/>
          </w:tcPr>
          <w:p>
            <w:pPr>
              <w:ind w:left="440"/>
              <w:spacing w:after="0" w:line="149" w:lineRule="exact"/>
              <w:rPr>
                <w:sz w:val="20"/>
                <w:szCs w:val="20"/>
                <w:color w:val="auto"/>
              </w:rPr>
            </w:pPr>
            <w:r>
              <w:rPr>
                <w:rFonts w:ascii="Arial" w:cs="Arial" w:eastAsia="Arial" w:hAnsi="Arial"/>
                <w:sz w:val="14"/>
                <w:szCs w:val="14"/>
                <w:color w:val="auto"/>
              </w:rPr>
              <w:t>Change in unrealized loss on investments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comprehensive loss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(20,065)</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4"/>
                <w:szCs w:val="14"/>
                <w:color w:val="auto"/>
              </w:rPr>
              <w:t>Balance at December 31, 2008</w:t>
            </w: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vMerge w:val="continue"/>
          </w:tcPr>
          <w:p>
            <w:pPr>
              <w:spacing w:after="0"/>
              <w:rPr>
                <w:sz w:val="13"/>
                <w:szCs w:val="13"/>
                <w:color w:val="auto"/>
              </w:rPr>
            </w:pPr>
          </w:p>
        </w:tc>
        <w:tc>
          <w:tcPr>
            <w:tcW w:w="38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ind w:left="10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49,763</w:t>
            </w:r>
          </w:p>
        </w:tc>
        <w:tc>
          <w:tcPr>
            <w:tcW w:w="14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153,031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(6,101)</w:t>
            </w:r>
          </w:p>
        </w:tc>
        <w:tc>
          <w:tcPr>
            <w:tcW w:w="1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(130,072)</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16,907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80"/>
        </w:trPr>
        <w:tc>
          <w:tcPr>
            <w:tcW w:w="74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gridSpan w:val="5"/>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3"/>
              </w:rPr>
              <w:t>(May 1, 1998) to</w:t>
            </w:r>
          </w:p>
        </w:tc>
        <w:tc>
          <w:tcPr>
            <w:tcW w:w="0" w:type="dxa"/>
            <w:vAlign w:val="bottom"/>
          </w:tcPr>
          <w:p>
            <w:pPr>
              <w:spacing w:after="0"/>
              <w:rPr>
                <w:sz w:val="1"/>
                <w:szCs w:val="1"/>
                <w:color w:val="auto"/>
              </w:rPr>
            </w:pPr>
          </w:p>
        </w:tc>
      </w:tr>
      <w:tr>
        <w:trPr>
          <w:trHeight w:val="48"/>
        </w:trPr>
        <w:tc>
          <w:tcPr>
            <w:tcW w:w="7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7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2006</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ind w:left="440"/>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w w:val="84"/>
              </w:rPr>
              <w:t>(20,061)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4"/>
              </w:rPr>
              <w:t>(11,573)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4"/>
              </w:rPr>
              <w:t>(24,873)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(130,072)</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loss to net cash used in operations: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ind w:left="88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80" w:type="dxa"/>
            <w:vAlign w:val="bottom"/>
          </w:tcPr>
          <w:p>
            <w:pPr>
              <w:spacing w:after="0"/>
              <w:rPr>
                <w:sz w:val="12"/>
                <w:szCs w:val="12"/>
                <w:color w:val="auto"/>
              </w:rPr>
            </w:pPr>
          </w:p>
        </w:tc>
        <w:tc>
          <w:tcPr>
            <w:tcW w:w="6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Stock-based compensation, net of recoveries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1,060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12,664</w:t>
            </w:r>
          </w:p>
        </w:tc>
        <w:tc>
          <w:tcPr>
            <w:tcW w:w="0" w:type="dxa"/>
            <w:vAlign w:val="bottom"/>
          </w:tcPr>
          <w:p>
            <w:pPr>
              <w:spacing w:after="0"/>
              <w:rPr>
                <w:sz w:val="1"/>
                <w:szCs w:val="1"/>
                <w:color w:val="auto"/>
              </w:rPr>
            </w:pPr>
          </w:p>
        </w:tc>
      </w:tr>
      <w:tr>
        <w:trPr>
          <w:trHeight w:val="149"/>
        </w:trPr>
        <w:tc>
          <w:tcPr>
            <w:tcW w:w="7460" w:type="dxa"/>
            <w:vAlign w:val="bottom"/>
          </w:tcPr>
          <w:p>
            <w:pPr>
              <w:ind w:left="880"/>
              <w:spacing w:after="0" w:line="149" w:lineRule="exact"/>
              <w:rPr>
                <w:sz w:val="20"/>
                <w:szCs w:val="20"/>
                <w:color w:val="auto"/>
              </w:rPr>
            </w:pPr>
            <w:r>
              <w:rPr>
                <w:rFonts w:ascii="Arial" w:cs="Arial" w:eastAsia="Arial" w:hAnsi="Arial"/>
                <w:sz w:val="14"/>
                <w:szCs w:val="14"/>
                <w:color w:val="auto"/>
              </w:rPr>
              <w:t>Expense related to stock issued for services</w:t>
            </w:r>
          </w:p>
        </w:tc>
        <w:tc>
          <w:tcPr>
            <w:tcW w:w="80" w:type="dxa"/>
            <w:vAlign w:val="bottom"/>
          </w:tcPr>
          <w:p>
            <w:pPr>
              <w:spacing w:after="0"/>
              <w:rPr>
                <w:sz w:val="12"/>
                <w:szCs w:val="12"/>
                <w:color w:val="auto"/>
              </w:rPr>
            </w:pPr>
          </w:p>
        </w:tc>
        <w:tc>
          <w:tcPr>
            <w:tcW w:w="6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Settlement of liquidated damages in stock</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1,281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49"/>
        </w:trPr>
        <w:tc>
          <w:tcPr>
            <w:tcW w:w="7460" w:type="dxa"/>
            <w:vAlign w:val="bottom"/>
          </w:tcPr>
          <w:p>
            <w:pPr>
              <w:ind w:left="880"/>
              <w:spacing w:after="0" w:line="149" w:lineRule="exact"/>
              <w:rPr>
                <w:sz w:val="20"/>
                <w:szCs w:val="20"/>
                <w:color w:val="auto"/>
              </w:rPr>
            </w:pPr>
            <w:r>
              <w:rPr>
                <w:rFonts w:ascii="Arial" w:cs="Arial" w:eastAsia="Arial" w:hAnsi="Arial"/>
                <w:sz w:val="14"/>
                <w:szCs w:val="14"/>
                <w:color w:val="auto"/>
              </w:rPr>
              <w:t>Expense related to stock issued in conjunction with license agreement</w:t>
            </w:r>
          </w:p>
        </w:tc>
        <w:tc>
          <w:tcPr>
            <w:tcW w:w="80" w:type="dxa"/>
            <w:vAlign w:val="bottom"/>
          </w:tcPr>
          <w:p>
            <w:pPr>
              <w:spacing w:after="0"/>
              <w:rPr>
                <w:sz w:val="12"/>
                <w:szCs w:val="12"/>
                <w:color w:val="auto"/>
              </w:rPr>
            </w:pPr>
          </w:p>
        </w:tc>
        <w:tc>
          <w:tcPr>
            <w:tcW w:w="6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Expense related to stock issued below fair value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7460" w:type="dxa"/>
            <w:vAlign w:val="bottom"/>
          </w:tcPr>
          <w:p>
            <w:pPr>
              <w:ind w:left="880"/>
              <w:spacing w:after="0" w:line="149" w:lineRule="exact"/>
              <w:rPr>
                <w:sz w:val="20"/>
                <w:szCs w:val="20"/>
                <w:color w:val="auto"/>
              </w:rPr>
            </w:pPr>
            <w:r>
              <w:rPr>
                <w:rFonts w:ascii="Arial" w:cs="Arial" w:eastAsia="Arial" w:hAnsi="Arial"/>
                <w:sz w:val="14"/>
                <w:szCs w:val="14"/>
                <w:color w:val="auto"/>
              </w:rPr>
              <w:t>Interest accrued on convertible promissory notes</w:t>
            </w:r>
          </w:p>
        </w:tc>
        <w:tc>
          <w:tcPr>
            <w:tcW w:w="80" w:type="dxa"/>
            <w:vAlign w:val="bottom"/>
          </w:tcPr>
          <w:p>
            <w:pPr>
              <w:spacing w:after="0"/>
              <w:rPr>
                <w:sz w:val="12"/>
                <w:szCs w:val="12"/>
                <w:color w:val="auto"/>
              </w:rPr>
            </w:pPr>
          </w:p>
        </w:tc>
        <w:tc>
          <w:tcPr>
            <w:tcW w:w="6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ind w:left="13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2"/>
                <w:szCs w:val="12"/>
                <w:color w:val="auto"/>
              </w:rPr>
            </w:pPr>
          </w:p>
        </w:tc>
        <w:tc>
          <w:tcPr>
            <w:tcW w:w="6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(980)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7460" w:type="dxa"/>
            <w:vAlign w:val="bottom"/>
          </w:tcPr>
          <w:p>
            <w:pPr>
              <w:ind w:left="13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6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189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199</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Accrued clinical</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9"/>
              </w:rPr>
              <w:t>(1,345)</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49"/>
        </w:trPr>
        <w:tc>
          <w:tcPr>
            <w:tcW w:w="7460" w:type="dxa"/>
            <w:vAlign w:val="bottom"/>
          </w:tcPr>
          <w:p>
            <w:pPr>
              <w:ind w:left="1300"/>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2"/>
                <w:szCs w:val="12"/>
                <w:color w:val="auto"/>
              </w:rPr>
            </w:pPr>
          </w:p>
        </w:tc>
        <w:tc>
          <w:tcPr>
            <w:tcW w:w="6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(428)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627</w:t>
            </w:r>
          </w:p>
        </w:tc>
        <w:tc>
          <w:tcPr>
            <w:tcW w:w="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(79)</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4"/>
              </w:rPr>
              <w:t>(18,362)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4"/>
              </w:rPr>
              <w:t>(10,964)</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4"/>
              </w:rPr>
              <w:t>(23,238)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(113,916)</w:t>
            </w:r>
          </w:p>
        </w:tc>
        <w:tc>
          <w:tcPr>
            <w:tcW w:w="0" w:type="dxa"/>
            <w:vAlign w:val="bottom"/>
          </w:tcPr>
          <w:p>
            <w:pPr>
              <w:spacing w:after="0"/>
              <w:rPr>
                <w:sz w:val="1"/>
                <w:szCs w:val="1"/>
                <w:color w:val="auto"/>
              </w:rPr>
            </w:pPr>
          </w:p>
        </w:tc>
      </w:tr>
      <w:tr>
        <w:trPr>
          <w:trHeight w:val="149"/>
        </w:trPr>
        <w:tc>
          <w:tcPr>
            <w:tcW w:w="746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7460" w:type="dxa"/>
            <w:vAlign w:val="bottom"/>
          </w:tcPr>
          <w:p>
            <w:pPr>
              <w:ind w:left="440"/>
              <w:spacing w:after="0" w:line="149" w:lineRule="exact"/>
              <w:rPr>
                <w:sz w:val="20"/>
                <w:szCs w:val="20"/>
                <w:color w:val="auto"/>
              </w:rPr>
            </w:pPr>
            <w:r>
              <w:rPr>
                <w:rFonts w:ascii="Arial" w:cs="Arial" w:eastAsia="Arial" w:hAnsi="Arial"/>
                <w:sz w:val="14"/>
                <w:szCs w:val="14"/>
                <w:color w:val="auto"/>
              </w:rPr>
              <w:t>Purchases of short-term and long-term investments</w:t>
            </w:r>
          </w:p>
        </w:tc>
        <w:tc>
          <w:tcPr>
            <w:tcW w:w="80" w:type="dxa"/>
            <w:vAlign w:val="bottom"/>
          </w:tcPr>
          <w:p>
            <w:pPr>
              <w:spacing w:after="0"/>
              <w:rPr>
                <w:sz w:val="12"/>
                <w:szCs w:val="12"/>
                <w:color w:val="auto"/>
              </w:rPr>
            </w:pPr>
          </w:p>
        </w:tc>
        <w:tc>
          <w:tcPr>
            <w:tcW w:w="6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w w:val="99"/>
              </w:rPr>
              <w:t>(3,594)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9"/>
              </w:rPr>
              <w:t>(6,380)</w:t>
            </w:r>
          </w:p>
        </w:tc>
        <w:tc>
          <w:tcPr>
            <w:tcW w:w="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9"/>
              </w:rPr>
              <w:t>(1,315)</w:t>
            </w: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(118,320)</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Maturities of short-term investments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5,930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26,676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114,726</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12"/>
              <w:spacing w:after="0" w:line="155" w:lineRule="exact"/>
              <w:rPr>
                <w:sz w:val="20"/>
                <w:szCs w:val="20"/>
                <w:color w:val="auto"/>
              </w:rPr>
            </w:pPr>
            <w:r>
              <w:rPr>
                <w:rFonts w:ascii="Arial" w:cs="Arial" w:eastAsia="Arial" w:hAnsi="Arial"/>
                <w:sz w:val="14"/>
                <w:szCs w:val="14"/>
                <w:color w:val="auto"/>
              </w:rPr>
              <w:t>2,329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9"/>
              </w:rPr>
              <w:t>(5,380)</w:t>
            </w: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25,361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(3,655)</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ind w:left="440"/>
              <w:spacing w:after="0" w:line="149" w:lineRule="exact"/>
              <w:rPr>
                <w:sz w:val="20"/>
                <w:szCs w:val="20"/>
                <w:color w:val="auto"/>
              </w:rPr>
            </w:pPr>
            <w:r>
              <w:rPr>
                <w:rFonts w:ascii="Arial" w:cs="Arial" w:eastAsia="Arial" w:hAnsi="Arial"/>
                <w:sz w:val="14"/>
                <w:szCs w:val="14"/>
                <w:color w:val="auto"/>
              </w:rPr>
              <w:t>Proceeds from issuance of common stock, net of cash paid for issuance costs</w:t>
            </w:r>
          </w:p>
        </w:tc>
        <w:tc>
          <w:tcPr>
            <w:tcW w:w="80" w:type="dxa"/>
            <w:vAlign w:val="bottom"/>
          </w:tcPr>
          <w:p>
            <w:pPr>
              <w:spacing w:after="0"/>
              <w:rPr>
                <w:sz w:val="12"/>
                <w:szCs w:val="12"/>
                <w:color w:val="auto"/>
              </w:rPr>
            </w:pPr>
          </w:p>
        </w:tc>
        <w:tc>
          <w:tcPr>
            <w:tcW w:w="6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w w:val="88"/>
              </w:rPr>
              <w:t>19,323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3"/>
              </w:rPr>
              <w:t>18,866</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2,936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90,226</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issuance of convertible note payable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49"/>
        </w:trPr>
        <w:tc>
          <w:tcPr>
            <w:tcW w:w="7460" w:type="dxa"/>
            <w:vAlign w:val="bottom"/>
          </w:tcPr>
          <w:p>
            <w:pPr>
              <w:ind w:left="440"/>
              <w:spacing w:after="0" w:line="149" w:lineRule="exact"/>
              <w:rPr>
                <w:sz w:val="20"/>
                <w:szCs w:val="20"/>
                <w:color w:val="auto"/>
              </w:rPr>
            </w:pPr>
            <w:r>
              <w:rPr>
                <w:rFonts w:ascii="Arial" w:cs="Arial" w:eastAsia="Arial" w:hAnsi="Arial"/>
                <w:sz w:val="14"/>
                <w:szCs w:val="14"/>
                <w:color w:val="auto"/>
              </w:rPr>
              <w:t>Proceeds from convertible promissory notes</w:t>
            </w:r>
          </w:p>
        </w:tc>
        <w:tc>
          <w:tcPr>
            <w:tcW w:w="80" w:type="dxa"/>
            <w:vAlign w:val="bottom"/>
          </w:tcPr>
          <w:p>
            <w:pPr>
              <w:spacing w:after="0"/>
              <w:rPr>
                <w:sz w:val="12"/>
                <w:szCs w:val="12"/>
                <w:color w:val="auto"/>
              </w:rPr>
            </w:pPr>
          </w:p>
        </w:tc>
        <w:tc>
          <w:tcPr>
            <w:tcW w:w="6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repayment of stockholder notes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7460" w:type="dxa"/>
            <w:vAlign w:val="bottom"/>
          </w:tcPr>
          <w:p>
            <w:pPr>
              <w:ind w:left="440"/>
              <w:spacing w:after="0" w:line="149" w:lineRule="exact"/>
              <w:rPr>
                <w:sz w:val="20"/>
                <w:szCs w:val="20"/>
                <w:color w:val="auto"/>
              </w:rPr>
            </w:pPr>
            <w:r>
              <w:rPr>
                <w:rFonts w:ascii="Arial" w:cs="Arial" w:eastAsia="Arial" w:hAnsi="Arial"/>
                <w:sz w:val="14"/>
                <w:szCs w:val="14"/>
                <w:color w:val="auto"/>
              </w:rPr>
              <w:t>Principal payments of obligations under capital leases</w:t>
            </w:r>
          </w:p>
        </w:tc>
        <w:tc>
          <w:tcPr>
            <w:tcW w:w="80" w:type="dxa"/>
            <w:vAlign w:val="bottom"/>
          </w:tcPr>
          <w:p>
            <w:pPr>
              <w:spacing w:after="0"/>
              <w:rPr>
                <w:sz w:val="12"/>
                <w:szCs w:val="12"/>
                <w:color w:val="auto"/>
              </w:rPr>
            </w:pPr>
          </w:p>
        </w:tc>
        <w:tc>
          <w:tcPr>
            <w:tcW w:w="6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issuance of convertible preferred stock, net of cash paid for issuance costs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40,378</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12"/>
              <w:spacing w:after="0" w:line="155" w:lineRule="exact"/>
              <w:rPr>
                <w:sz w:val="20"/>
                <w:szCs w:val="20"/>
                <w:color w:val="auto"/>
              </w:rPr>
            </w:pPr>
            <w:r>
              <w:rPr>
                <w:rFonts w:ascii="Arial" w:cs="Arial" w:eastAsia="Arial" w:hAnsi="Arial"/>
                <w:sz w:val="14"/>
                <w:szCs w:val="14"/>
                <w:color w:val="auto"/>
                <w:w w:val="88"/>
              </w:rPr>
              <w:t>19,316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w w:val="93"/>
              </w:rPr>
              <w:t>18,871</w:t>
            </w: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2,967</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132,287</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increase in cash and cash equivalents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2,527</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14,716</w:t>
            </w:r>
          </w:p>
        </w:tc>
        <w:tc>
          <w:tcPr>
            <w:tcW w:w="0" w:type="dxa"/>
            <w:vAlign w:val="bottom"/>
          </w:tcPr>
          <w:p>
            <w:pPr>
              <w:spacing w:after="0"/>
              <w:rPr>
                <w:sz w:val="1"/>
                <w:szCs w:val="1"/>
                <w:color w:val="auto"/>
              </w:rPr>
            </w:pPr>
          </w:p>
        </w:tc>
      </w:tr>
      <w:tr>
        <w:trPr>
          <w:trHeight w:val="149"/>
        </w:trPr>
        <w:tc>
          <w:tcPr>
            <w:tcW w:w="7460" w:type="dxa"/>
            <w:vAlign w:val="bottom"/>
          </w:tcPr>
          <w:p>
            <w:pPr>
              <w:ind w:left="44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0" w:type="dxa"/>
            <w:vAlign w:val="bottom"/>
          </w:tcPr>
          <w:p>
            <w:pPr>
              <w:spacing w:after="0"/>
              <w:rPr>
                <w:sz w:val="12"/>
                <w:szCs w:val="12"/>
                <w:color w:val="auto"/>
              </w:rPr>
            </w:pPr>
          </w:p>
        </w:tc>
        <w:tc>
          <w:tcPr>
            <w:tcW w:w="6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w w:val="88"/>
              </w:rPr>
              <w:t>11,433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8,906</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3,816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8"/>
              </w:rPr>
              <w:t>14,716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3"/>
              </w:rPr>
              <w:t>11,433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14,716</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4"/>
                <w:szCs w:val="14"/>
                <w:color w:val="auto"/>
              </w:rPr>
              <w:t>Supplemental disclosure of non-cash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Conversion of convertible promissory notes and accrued interest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ind w:left="880"/>
              <w:spacing w:after="0" w:line="149" w:lineRule="exact"/>
              <w:rPr>
                <w:sz w:val="20"/>
                <w:szCs w:val="20"/>
                <w:color w:val="auto"/>
              </w:rPr>
            </w:pPr>
            <w:r>
              <w:rPr>
                <w:rFonts w:ascii="Arial" w:cs="Arial" w:eastAsia="Arial" w:hAnsi="Arial"/>
                <w:sz w:val="14"/>
                <w:szCs w:val="14"/>
                <w:color w:val="auto"/>
              </w:rPr>
              <w:t>—to convertible preferred stock</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60" w:type="dxa"/>
            <w:vAlign w:val="bottom"/>
            <w:shd w:val="clear" w:color="auto" w:fill="CCEEFF"/>
          </w:tcPr>
          <w:p>
            <w:pPr>
              <w:ind w:left="880"/>
              <w:spacing w:after="0" w:line="143" w:lineRule="exact"/>
              <w:rPr>
                <w:sz w:val="20"/>
                <w:szCs w:val="20"/>
                <w:color w:val="auto"/>
              </w:rPr>
            </w:pPr>
            <w:r>
              <w:rPr>
                <w:rFonts w:ascii="Arial" w:cs="Arial" w:eastAsia="Arial" w:hAnsi="Arial"/>
                <w:sz w:val="14"/>
                <w:szCs w:val="14"/>
                <w:color w:val="auto"/>
              </w:rPr>
              <w:t>—to common stock</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4"/>
                <w:szCs w:val="14"/>
                <w:color w:val="auto"/>
              </w:rPr>
              <w:t>Issuance of note receivable pursuant to sale of common stock and warrant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6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12"/>
              <w:spacing w:after="0" w:line="143" w:lineRule="exact"/>
              <w:rPr>
                <w:sz w:val="20"/>
                <w:szCs w:val="20"/>
                <w:color w:val="auto"/>
              </w:rPr>
            </w:pPr>
            <w:r>
              <w:rPr>
                <w:rFonts w:ascii="Arial" w:cs="Arial" w:eastAsia="Arial" w:hAnsi="Arial"/>
                <w:sz w:val="14"/>
                <w:szCs w:val="14"/>
                <w:color w:val="auto"/>
              </w:rPr>
              <w:t>6,000</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8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5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6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color w:val="auto"/>
              </w:rPr>
              <w:t>Issuance of warrant in connection with financing agreement</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12"/>
              <w:spacing w:after="0" w:line="143" w:lineRule="exact"/>
              <w:rPr>
                <w:sz w:val="20"/>
                <w:szCs w:val="20"/>
                <w:color w:val="auto"/>
              </w:rPr>
            </w:pPr>
            <w:r>
              <w:rPr>
                <w:rFonts w:ascii="Arial" w:cs="Arial" w:eastAsia="Arial" w:hAnsi="Arial"/>
                <w:sz w:val="14"/>
                <w:szCs w:val="14"/>
                <w:color w:val="auto"/>
              </w:rPr>
              <w:t>653</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8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56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440"/>
              <w:spacing w:after="0"/>
              <w:rPr>
                <w:sz w:val="20"/>
                <w:szCs w:val="20"/>
                <w:color w:val="auto"/>
              </w:rPr>
            </w:pPr>
            <w:r>
              <w:rPr>
                <w:rFonts w:ascii="Arial" w:cs="Arial" w:eastAsia="Arial" w:hAnsi="Arial"/>
                <w:sz w:val="14"/>
                <w:szCs w:val="14"/>
                <w:color w:val="auto"/>
              </w:rPr>
              <w:t>Issuance of common stock in settlement of liquidated damages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6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12"/>
              <w:spacing w:after="0" w:line="143" w:lineRule="exact"/>
              <w:rPr>
                <w:sz w:val="20"/>
                <w:szCs w:val="20"/>
                <w:color w:val="auto"/>
              </w:rPr>
            </w:pPr>
            <w:r>
              <w:rPr>
                <w:rFonts w:ascii="Arial" w:cs="Arial" w:eastAsia="Arial" w:hAnsi="Arial"/>
                <w:sz w:val="14"/>
                <w:szCs w:val="14"/>
                <w:color w:val="auto"/>
              </w:rPr>
              <w:t>1,281</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8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5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6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color w:val="auto"/>
              </w:rPr>
              <w:t>Purchase of equipment under capital leases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72"/>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8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56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ind w:right="5840" w:firstLine="8"/>
        <w:spacing w:after="0" w:line="347" w:lineRule="auto"/>
        <w:tabs>
          <w:tab w:leader="none" w:pos="307"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Description of Business</w:t>
      </w:r>
    </w:p>
    <w:p>
      <w:pPr>
        <w:spacing w:after="0" w:line="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Corcept Therapeutics Incorporated (the “Company” or “Corcept”) was incorporated in the state of Delaware on May 13, 1998, and its facilities are located in Menlo Park, California. Corcept is a pharmaceutical company engaged in the development of drugs for the treatment of severe psychiatric and metabolic diseases.</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Company’s primary activities since incorporation have been establishing its offices, recruiting personnel, conducting research and development,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performing business and financial planning, raising capital, and overseeing clinical trials. Accordingly, the Company is considered to be in the development stage.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Plans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the course of its development activities, the Company has sustained operating losses and expects such losses to continue for at least the next several years. The Company plans to continue to finance its operations through the sale of its equity and/or debt securities or by engaging in strategic relationships with potential partners. The accompanying financial statements have been prepared on a going concern basis, which contemplates the realization of assets and the settlement of liabilities and commitments in the normal course of business. The Company’s ability to continue its operations through the complete development and commercialization of its products is dependent upon the successful execution of its financing and/or any partnership strategies. The Company’s most advanced programs are the two Phase 3 trials of CORLUX in Cushing’s Syndrome and in psychotic depression.</w:t>
      </w:r>
    </w:p>
    <w:p>
      <w:pPr>
        <w:spacing w:after="0" w:line="120" w:lineRule="exact"/>
        <w:rPr>
          <w:sz w:val="20"/>
          <w:szCs w:val="20"/>
          <w:color w:val="auto"/>
        </w:rPr>
      </w:pPr>
    </w:p>
    <w:p>
      <w:pPr>
        <w:ind w:right="380" w:firstLine="456"/>
        <w:spacing w:after="0" w:line="305" w:lineRule="auto"/>
        <w:rPr>
          <w:sz w:val="20"/>
          <w:szCs w:val="20"/>
          <w:color w:val="auto"/>
        </w:rPr>
      </w:pPr>
      <w:r>
        <w:rPr>
          <w:rFonts w:ascii="Arial" w:cs="Arial" w:eastAsia="Arial" w:hAnsi="Arial"/>
          <w:sz w:val="15"/>
          <w:szCs w:val="15"/>
          <w:color w:val="auto"/>
        </w:rPr>
        <w:t>As reflected in the accompanying financial statements as of December 31, 2008, the Company had cash, cash equivalents and investments balances of $18.3 million, working capital of $16.7 million and an accumulated deficit of $130.1 million. In February 2009, the Company collected the proceeds of a</w:t>
      </w:r>
    </w:p>
    <w:p>
      <w:pPr>
        <w:spacing w:after="0" w:line="254" w:lineRule="auto"/>
        <w:rPr>
          <w:sz w:val="20"/>
          <w:szCs w:val="20"/>
          <w:color w:val="auto"/>
        </w:rPr>
      </w:pPr>
      <w:r>
        <w:rPr>
          <w:rFonts w:ascii="Arial" w:cs="Arial" w:eastAsia="Arial" w:hAnsi="Arial"/>
          <w:sz w:val="18"/>
          <w:szCs w:val="18"/>
          <w:color w:val="auto"/>
        </w:rPr>
        <w:t>$6.0 million note receivable, plus accrued interest. (See footnote 14—Subsequent Events for a discussion of the collection of this note.) With the collection of this note, the Company has sufficient funds to maintain its operations through the early part of 2010, including the planned completion of enrollment of its Phase 3 Cushing’s Syndrome trial, the continuation of enrollment in its Phase 3 psychotic depression trial, and the filing of an IND for CORT 108297, one of its proprietary, selective GR-II antagonists.</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will need to raise additional funds in order to sustain its operations at anticipated levels beyond early 2010. Although the Company’s management recognizes the need to raise funds in the future, there can be no assurance that the Company will be successful in consummating any such transaction, or, if the Company does consummate such a transaction, that the terms and conditions of such financing or any partnership will not be unfavorable to it. Any failure by the Company to obtain additional funding will have a material effect upon it and will likely result in the Company’s inability to continue its operations as currently planned beyond early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the financial statements and accompanying notes. Actual results could differ materially from those estimates. Any changes in estimates are recorded in the period of the change.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 accruals for clinical trials are based upon estimates of work completed under service agreements, milestones achieved, patient enrollment and past experience with similar contracts. The Company’s estimates of work completed and associated cost accruals include its assessments of information received from third-party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contract research organizations and the overall status of clinical trial activities. The estimates are updated on a recurring basis as new information becomes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invests its excess cash in bank deposits, money market accounts, corporate debt securities, and obligations of the U.S. government and U.S. government sponsored entities. The Company considers all highly liquid investments purchased with maturities of three months or less from the date of purchase to be cash equivalents. Cash equivalents are carried at fair value, which approximates cost, and primarily consist of money market funds maintained at major U.S. financial institutions and commercial paper issued by major corporations with maturities of less than 90 days from date of purchase.</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short-term investments, which primarily represent readily marketable debt securities, have been classified as “available-for-sale.” Short-term investments include debt securities with maturities of one year or less from the balance sheet dates. Debt securities with maturities of greater than 12 months from the balance sheet dates would be classified as long-term investments. Purchased premiums or discounts on debt securities are amortized to interest income through the stated maturities of the debt securities. The differences between amortized cost and fair values of the debt securities are recorded as a component of accumulated other comprehensive loss. Management determines the appropriate classification of its investments in debt securities at the time of purchase and evaluates such designation as of each balance sheet date. Unrealized gains and losses are included in accumulated other comprehensive loss and reported as a separate component of stockholders’ equity. Realized gains and losses and declines in value judged to be other-than-temporary, if any, on available-for-sale securities are included in other expenses. The cost of securities sold is based on the specific identification method. Interest earned on short-term and long-term investments is included in interest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Risks and Concentrations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concentration of credit risk consists of cash, cash equivalents, and short-term investments. The Company is exposed to credit risk in the event of default by the financial institutions holding the cash, cash equivalents, and short-term investments to the extent of the amount recorded on the balance sheet. This risk is mitigated by investing in securities with high credit ratings from the major rating services and by limiting the amount of investment in any one issuer. As of December 31, 2008, the Company had no investments in mortgage-backed securities or auction rate securities.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any point in time the Company may have approximately $150,000 to $1.5 million in its operating account with a third party financial institution. While the Company monitors the cash balance in our operating account and transfers the funds in only as needed, these cash balances could be impacted if the underlying financial institution were to fail or could be subject to other adverse conditions in the financial markets. On October 23, 2008, the Federal Deposit Insurance Corporation (FDIC) implemented its Temporary Liquidity Guarantee Program. Under this program, non-interest bearing commercial accounts are insured to an unlimited amount through December 31, 2009, thus mitigating our exposure to any possible bank failure. To date, the Company has experienced no loss or lack of access to cash in its operating accounts.</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also has a concentration of risk in regard to the manufacture of its product. As of December 31, 2008, the Company has a single source supplier for its tablet manufacture. If this supplier is unable to prepare the CORLUX tablets in the quantities and time frame required, the Company may not be able to manufacture its product in a timely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In September 2006, the FASB issued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This statement does not require any new fair value measurements but clarifies the fair value definition, establishes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 xml:space="preserve">fair value hierarchy that prioritizes the information used to develop assumptions for measuring fair value and expands disclosures about fair value measurements. Effective January 1, 2008, we adopted SFAS No. 157. The fair value hierarchy gives the highest priority to quoted prices in active markets for identical assets or liabilities (Level 1 input), then to quoted prices (in non-active markets or in active markets for similar assets or liabilities), inputs other than quoted prices that are observable for the asset or liability, and inputs that are not directly observable, but that are corroborated by observable market data for the asset or liability (Level 2 input), then the lowest priority to unobservable inputs, for example, the Company’s own data about the assumptions that market participants would use in pricing an asset or liability (Level 3 input). It emphasizes that fair value is a market-based measurement, not an entity-specific measurement, and a fair value measurement should therefore be based on the assumptions that market participants would use in pricing the asset or liability. In February 2008, the FASB issued FASB Staff Position No. FAS 157-2, </w:t>
      </w:r>
      <w:r>
        <w:rPr>
          <w:rFonts w:ascii="Arial" w:cs="Arial" w:eastAsia="Arial" w:hAnsi="Arial"/>
          <w:sz w:val="15"/>
          <w:szCs w:val="15"/>
          <w:i w:val="1"/>
          <w:iCs w:val="1"/>
          <w:color w:val="auto"/>
        </w:rPr>
        <w:t>Effective Date of FASB Statement No. 157</w:t>
      </w:r>
      <w:r>
        <w:rPr>
          <w:rFonts w:ascii="Arial" w:cs="Arial" w:eastAsia="Arial" w:hAnsi="Arial"/>
          <w:sz w:val="15"/>
          <w:szCs w:val="15"/>
          <w:color w:val="auto"/>
        </w:rPr>
        <w:t>, which provides a one year deferral of the effective date of SFAS 157 for nonfinancial assets and nonfinancial liabilities, except those that are recognized or disclosed in the financial statements at fair value on a recurring basis at least annually, which are deferred until fiscal years beginning after November 15, 2008 and interim periods within those fiscal years.</w:t>
      </w:r>
    </w:p>
    <w:p>
      <w:pPr>
        <w:spacing w:after="0" w:line="10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order to determine the implications of adopting SFAS 157, the Company reviewed all the assets and liabilities recorded on its balance sheet. Based on the results of its review, the Company determined that a majority of its assets and liabilities are either not required to be measured at fair value in its financial statements, are outside the scope of SFAS 157, or are subject to the deferred implementation provisions of FSP No. 157-2. Therefore, the only assets and liabilities in the Company’s financial statements subject to SFAS 157 (i.e. measured at fair value on a recurring basis) at December 31, 2008 are the Company’s investment portfolio.</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February 2007, the FASB issued Statement No. 159, </w:t>
      </w:r>
      <w:r>
        <w:rPr>
          <w:rFonts w:ascii="Arial" w:cs="Arial" w:eastAsia="Arial" w:hAnsi="Arial"/>
          <w:sz w:val="16"/>
          <w:szCs w:val="16"/>
          <w:i w:val="1"/>
          <w:iCs w:val="1"/>
          <w:color w:val="auto"/>
        </w:rPr>
        <w:t>The Fair Value Option for Financial Assets and Financial Liabilities, 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115 </w:t>
      </w:r>
      <w:r>
        <w:rPr>
          <w:rFonts w:ascii="Arial" w:cs="Arial" w:eastAsia="Arial" w:hAnsi="Arial"/>
          <w:sz w:val="16"/>
          <w:szCs w:val="16"/>
          <w:color w:val="auto"/>
        </w:rPr>
        <w:t>(SFAS 159). This statement allows entities to voluntarily to choose to measure many financial assets and liabilities as well as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nonfinancial instruments that are similar to financial instruments (collectively, eligible items) at fair value (the fair value option). The election is made on instrument-by-instrument basis and is irrevocable. The objective is to improve financial reporting by providing entities with the opportunity to mitigate volatility in reported earnings caused by measuring related assets and liabilities differently without having to apply complex hedge accounting provisions. The statement is effective as of the beginning of an entity’s first fiscal year that begins after November 15, 2007. We adopted SFAS 159 on January 1. 2008 and did not make any elections for fair value accounting. Therefore, there was no material effect on our financial statements on the implementation of this standard.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October 10, 2008, the FASB issued Staff Position No. FAS 157-3, </w:t>
      </w:r>
      <w:r>
        <w:rPr>
          <w:rFonts w:ascii="Arial" w:cs="Arial" w:eastAsia="Arial" w:hAnsi="Arial"/>
          <w:sz w:val="18"/>
          <w:szCs w:val="18"/>
          <w:i w:val="1"/>
          <w:iCs w:val="1"/>
          <w:color w:val="auto"/>
        </w:rPr>
        <w:t>Determining the Fair Value of a Financial Asset When the Market for That Asset 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 Active, </w:t>
      </w:r>
      <w:r>
        <w:rPr>
          <w:rFonts w:ascii="Arial" w:cs="Arial" w:eastAsia="Arial" w:hAnsi="Arial"/>
          <w:sz w:val="18"/>
          <w:szCs w:val="18"/>
          <w:color w:val="auto"/>
        </w:rPr>
        <w:t>(FSP FAS 157-3). This FSP, which was effective upon release, clarifies the application of FAS 157 in a market that is not active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examples to illustrate key considerations in determining the fair value of a financial asset when the market for that financial asset is not active. The adoption of this statement has not had a material effect on the Company’s financial statements to date as the Company does not currently have any funds invested in markets that are not active.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Collaboration revenue relates to services rendered in connection with agreements signed with Eli Lilly and Company, or Lilly, in which Lilly has agreed to support certain of the Company’s pre-clinical and clinical proof-of-concept studies evaluating the ability of the Company’s product candidates to mitigate or prevent weight gain associated with the use of Zyprexa (olanzapine), an atypical antipsychotic medication. Under the agreements, Lilly has agreed to supply the Zyprexa and olanzapine and pay for the studies. The Company 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required to perform development activities as specified in these agreements and is reimbursed based on the costs associated with the conduct of the trial and the preparation and packaging of clinical trial materials. Revenue is recognized as services are rendered in accordance with the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Research and development expenses consist of costs incurred for Company-sponsored research and development activities. These costs include direct expenses (including nonrefundable payments to third parties) and research-related overhead expenses, as well as the cost of funding clinical trials, pre-clinical studies, manufacturing development and the contract development of second-generation compounds, and are expensed as incurred. Costs to acquire technologies and materials that are utilized in research and development and that have no alternative future use are expensed when incurred (see Note 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 xml:space="preserve">The Company has adopted SFAS No. 131, </w:t>
      </w:r>
      <w:r>
        <w:rPr>
          <w:rFonts w:ascii="Arial" w:cs="Arial" w:eastAsia="Arial" w:hAnsi="Arial"/>
          <w:sz w:val="16"/>
          <w:szCs w:val="16"/>
          <w:i w:val="1"/>
          <w:iCs w:val="1"/>
          <w:color w:val="auto"/>
        </w:rPr>
        <w:t>Disclosure About Segments of an Enterprise and Related Information</w:t>
      </w:r>
      <w:r>
        <w:rPr>
          <w:rFonts w:ascii="Arial" w:cs="Arial" w:eastAsia="Arial" w:hAnsi="Arial"/>
          <w:sz w:val="16"/>
          <w:szCs w:val="16"/>
          <w:color w:val="auto"/>
        </w:rPr>
        <w:t>, which requires companies to report selected information about operating segments, as well as enterprise wide disclosures about products, services, geographical areas, and major customers. Operating segments are determined based on the way management organizes its business for making operating decisions and assessing performance. The Company has only one operating segment, which is involved in the development of pharmaceutical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Property and equipment are stated at cost less accumulated depreciation. Property and equipment are depreciated using the straight-line method over the estimated useful lives of the assets, ranging from three to five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acquired under capital leases are amortized over the term of their useful lives or the lease period, whichever is shorter.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arises from the granting of stock options to employees, directors and non-employees.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Company adopted Statement of Financial Accounting Standard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as of January 1, 2006 under the “modified prospective” method in which compensation cost is recognized beginning with the effective date (a) based on the requirements of Statement 123R for all share-based payments granted or modified after the effective date and (b) based on the requirements of Statement 123 for all awards granted to employees prior to the effective date of Statement 123R that remain unvested on the effective date. See footnote 9 for a discussion of the Company’s stock option plans. Prior to the adoption of SFAS 123R, the Company accounted for stock-based compensation for options granted to employees and directors using the intrinsic value method prescribed in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 and had adopted the disclosure-only alternative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as amended by SFAS No. 148, </w:t>
      </w:r>
      <w:r>
        <w:rPr>
          <w:rFonts w:ascii="Arial" w:cs="Arial" w:eastAsia="Arial" w:hAnsi="Arial"/>
          <w:sz w:val="16"/>
          <w:szCs w:val="16"/>
          <w:i w:val="1"/>
          <w:iCs w:val="1"/>
          <w:color w:val="auto"/>
        </w:rPr>
        <w:t xml:space="preserve">Accounting for Stock-Based Compensation—Transition and Disclosure </w:t>
      </w:r>
      <w:r>
        <w:rPr>
          <w:rFonts w:ascii="Arial" w:cs="Arial" w:eastAsia="Arial" w:hAnsi="Arial"/>
          <w:sz w:val="16"/>
          <w:szCs w:val="16"/>
          <w:color w:val="auto"/>
        </w:rPr>
        <w:t>(“SFAS 148”). Because the Company had used the “minimum” value method for SFAS 123 pro forma</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requirements for options granted prior to the initial public offering of its common stock (“IPO”) in 2004, it continues to account for the portion of these pre-IPO grants that were non-vested as of January 1, 2006 under the provisions of APB 25 and related Interpretations, with pro forma disclosures under SFAS 123.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460" w:right="3680" w:firstLine="3237"/>
        <w:spacing w:after="0" w:line="387" w:lineRule="auto"/>
        <w:rPr>
          <w:sz w:val="20"/>
          <w:szCs w:val="20"/>
          <w:color w:val="auto"/>
        </w:rPr>
      </w:pPr>
      <w:r>
        <w:rPr>
          <w:rFonts w:ascii="Arial" w:cs="Arial" w:eastAsia="Arial" w:hAnsi="Arial"/>
          <w:sz w:val="18"/>
          <w:szCs w:val="18"/>
          <w:b w:val="1"/>
          <w:bCs w:val="1"/>
          <w:color w:val="auto"/>
        </w:rPr>
        <w:t xml:space="preserve">NOTES TO FINANCIAL STATEMENTS, Continued </w:t>
      </w:r>
      <w:r>
        <w:rPr>
          <w:rFonts w:ascii="Arial" w:cs="Arial" w:eastAsia="Arial" w:hAnsi="Arial"/>
          <w:sz w:val="18"/>
          <w:szCs w:val="18"/>
          <w:i w:val="1"/>
          <w:iCs w:val="1"/>
          <w:color w:val="auto"/>
        </w:rPr>
        <w:t>Stock-based compensation for employee options</w:t>
      </w:r>
    </w:p>
    <w:p>
      <w:pPr>
        <w:ind w:right="660" w:firstLine="456"/>
        <w:spacing w:after="0" w:line="268" w:lineRule="auto"/>
        <w:rPr>
          <w:sz w:val="20"/>
          <w:szCs w:val="20"/>
          <w:color w:val="auto"/>
        </w:rPr>
      </w:pPr>
      <w:r>
        <w:rPr>
          <w:rFonts w:ascii="Arial" w:cs="Arial" w:eastAsia="Arial" w:hAnsi="Arial"/>
          <w:sz w:val="18"/>
          <w:szCs w:val="18"/>
          <w:color w:val="auto"/>
        </w:rPr>
        <w:t>Following is a synopsis of the implications of adoption of this statement on the Company’s accounting practices in regard to stock option grants to employees and directors:</w:t>
      </w:r>
    </w:p>
    <w:p>
      <w:pPr>
        <w:spacing w:after="0" w:line="51" w:lineRule="exact"/>
        <w:rPr>
          <w:sz w:val="20"/>
          <w:szCs w:val="20"/>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Options granted prior to January 1, 2006:</w:t>
      </w:r>
    </w:p>
    <w:p>
      <w:pPr>
        <w:spacing w:after="0" w:line="90" w:lineRule="exact"/>
        <w:rPr>
          <w:rFonts w:ascii="Arial" w:cs="Arial" w:eastAsia="Arial" w:hAnsi="Arial"/>
          <w:sz w:val="18"/>
          <w:szCs w:val="18"/>
          <w:color w:val="auto"/>
        </w:rPr>
      </w:pPr>
    </w:p>
    <w:p>
      <w:pPr>
        <w:ind w:left="900" w:hanging="217"/>
        <w:spacing w:after="0" w:line="252" w:lineRule="auto"/>
        <w:tabs>
          <w:tab w:leader="none" w:pos="900" w:val="left"/>
        </w:tabs>
        <w:numPr>
          <w:ilvl w:val="1"/>
          <w:numId w:val="64"/>
        </w:numPr>
        <w:rPr>
          <w:rFonts w:ascii="Arial" w:cs="Arial" w:eastAsia="Arial" w:hAnsi="Arial"/>
          <w:sz w:val="21"/>
          <w:szCs w:val="21"/>
          <w:color w:val="auto"/>
          <w:vertAlign w:val="superscript"/>
        </w:rPr>
      </w:pPr>
      <w:r>
        <w:rPr>
          <w:rFonts w:ascii="Arial" w:cs="Arial" w:eastAsia="Arial" w:hAnsi="Arial"/>
          <w:sz w:val="17"/>
          <w:szCs w:val="17"/>
          <w:color w:val="auto"/>
        </w:rPr>
        <w:t>For options granted prior to the IPO in 2004, the Company has continued to account for the portion of these grants that were non-vested as of January 1, 2006 under the provisions of APB 25, with pro forma disclosures under SFAS 123. This treatment is being followed because the Company had used the “minimum” value method for these options under SFAS 123 pro forma disclosure requirements.</w:t>
      </w:r>
    </w:p>
    <w:p>
      <w:pPr>
        <w:spacing w:after="0" w:line="65" w:lineRule="exact"/>
        <w:rPr>
          <w:rFonts w:ascii="Arial" w:cs="Arial" w:eastAsia="Arial" w:hAnsi="Arial"/>
          <w:sz w:val="21"/>
          <w:szCs w:val="21"/>
          <w:color w:val="auto"/>
          <w:vertAlign w:val="superscript"/>
        </w:rPr>
      </w:pPr>
    </w:p>
    <w:p>
      <w:pPr>
        <w:ind w:left="900" w:right="260" w:hanging="217"/>
        <w:spacing w:after="0" w:line="272" w:lineRule="auto"/>
        <w:tabs>
          <w:tab w:leader="none" w:pos="900" w:val="left"/>
        </w:tabs>
        <w:numPr>
          <w:ilvl w:val="1"/>
          <w:numId w:val="64"/>
        </w:numPr>
        <w:rPr>
          <w:rFonts w:ascii="Arial" w:cs="Arial" w:eastAsia="Arial" w:hAnsi="Arial"/>
          <w:sz w:val="20"/>
          <w:szCs w:val="20"/>
          <w:color w:val="auto"/>
          <w:vertAlign w:val="superscript"/>
        </w:rPr>
      </w:pPr>
      <w:r>
        <w:rPr>
          <w:rFonts w:ascii="Arial" w:cs="Arial" w:eastAsia="Arial" w:hAnsi="Arial"/>
          <w:sz w:val="16"/>
          <w:szCs w:val="16"/>
          <w:color w:val="auto"/>
        </w:rPr>
        <w:t>For the options granted after the IPO, the Company began, as of January 1, 2006, to record non-cash stock-based compensation expense in the financial statements in amounts that represent the remaining fair value of the non-vested portion of these grants, utilizing the assumptions and fair value per share information as of the original grant date that the Company has been using for SFAS 123 pro forma disclosure purposes.</w:t>
      </w:r>
    </w:p>
    <w:p>
      <w:pPr>
        <w:spacing w:after="0" w:line="51" w:lineRule="exact"/>
        <w:rPr>
          <w:rFonts w:ascii="Arial" w:cs="Arial" w:eastAsia="Arial" w:hAnsi="Arial"/>
          <w:sz w:val="20"/>
          <w:szCs w:val="20"/>
          <w:color w:val="auto"/>
          <w:vertAlign w:val="superscript"/>
        </w:rPr>
      </w:pPr>
    </w:p>
    <w:p>
      <w:pPr>
        <w:ind w:left="900" w:right="220" w:hanging="217"/>
        <w:spacing w:after="0" w:line="228" w:lineRule="auto"/>
        <w:tabs>
          <w:tab w:leader="none" w:pos="900" w:val="left"/>
        </w:tabs>
        <w:numPr>
          <w:ilvl w:val="1"/>
          <w:numId w:val="64"/>
        </w:numPr>
        <w:rPr>
          <w:rFonts w:ascii="Arial" w:cs="Arial" w:eastAsia="Arial" w:hAnsi="Arial"/>
          <w:sz w:val="22"/>
          <w:szCs w:val="22"/>
          <w:color w:val="auto"/>
          <w:vertAlign w:val="superscript"/>
        </w:rPr>
      </w:pPr>
      <w:r>
        <w:rPr>
          <w:rFonts w:ascii="Arial" w:cs="Arial" w:eastAsia="Arial" w:hAnsi="Arial"/>
          <w:sz w:val="18"/>
          <w:szCs w:val="18"/>
          <w:color w:val="auto"/>
        </w:rPr>
        <w:t>For all options granted prior to January 1, 2006, the Company is continuing to utilize the graded-vesting attribution method for amortization of the relevant compensation amounts.</w:t>
      </w:r>
    </w:p>
    <w:p>
      <w:pPr>
        <w:spacing w:after="0" w:line="76" w:lineRule="exact"/>
        <w:rPr>
          <w:rFonts w:ascii="Arial" w:cs="Arial" w:eastAsia="Arial" w:hAnsi="Arial"/>
          <w:sz w:val="22"/>
          <w:szCs w:val="22"/>
          <w:color w:val="auto"/>
          <w:vertAlign w:val="superscript"/>
        </w:rPr>
      </w:pPr>
    </w:p>
    <w:p>
      <w:pPr>
        <w:ind w:left="900" w:right="480" w:hanging="217"/>
        <w:spacing w:after="0" w:line="275" w:lineRule="auto"/>
        <w:tabs>
          <w:tab w:leader="none" w:pos="900" w:val="left"/>
        </w:tabs>
        <w:numPr>
          <w:ilvl w:val="1"/>
          <w:numId w:val="64"/>
        </w:numPr>
        <w:rPr>
          <w:rFonts w:ascii="Arial" w:cs="Arial" w:eastAsia="Arial" w:hAnsi="Arial"/>
          <w:sz w:val="20"/>
          <w:szCs w:val="20"/>
          <w:color w:val="auto"/>
          <w:vertAlign w:val="superscript"/>
        </w:rPr>
      </w:pPr>
      <w:r>
        <w:rPr>
          <w:rFonts w:ascii="Arial" w:cs="Arial" w:eastAsia="Arial" w:hAnsi="Arial"/>
          <w:sz w:val="16"/>
          <w:szCs w:val="16"/>
          <w:color w:val="auto"/>
        </w:rPr>
        <w:t>Since the Company has a limited employee base, it does not have sufficient historical information to determine a reasonable forfeiture rate for options that might not vest because of employee terminations. When an employee terminates, the Company will record a change in accounting estimate that represents the difference between the expense recorded under the graded-vesting method and the expense that would have been recorded based upon the rights to options that vested during the individual’s service as an employee.</w:t>
      </w:r>
    </w:p>
    <w:p>
      <w:pPr>
        <w:spacing w:after="0" w:line="49" w:lineRule="exact"/>
        <w:rPr>
          <w:rFonts w:ascii="Arial" w:cs="Arial" w:eastAsia="Arial" w:hAnsi="Arial"/>
          <w:sz w:val="20"/>
          <w:szCs w:val="20"/>
          <w:color w:val="auto"/>
          <w:vertAlign w:val="superscript"/>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Options granted or modified on or after January 1, 2006:</w:t>
      </w:r>
    </w:p>
    <w:p>
      <w:pPr>
        <w:spacing w:after="0" w:line="90" w:lineRule="exact"/>
        <w:rPr>
          <w:rFonts w:ascii="Arial" w:cs="Arial" w:eastAsia="Arial" w:hAnsi="Arial"/>
          <w:sz w:val="18"/>
          <w:szCs w:val="18"/>
          <w:color w:val="auto"/>
        </w:rPr>
      </w:pPr>
    </w:p>
    <w:p>
      <w:pPr>
        <w:ind w:left="900" w:right="260" w:hanging="217"/>
        <w:spacing w:after="0" w:line="228" w:lineRule="auto"/>
        <w:tabs>
          <w:tab w:leader="none" w:pos="900" w:val="left"/>
        </w:tabs>
        <w:numPr>
          <w:ilvl w:val="1"/>
          <w:numId w:val="64"/>
        </w:numPr>
        <w:rPr>
          <w:rFonts w:ascii="Arial" w:cs="Arial" w:eastAsia="Arial" w:hAnsi="Arial"/>
          <w:sz w:val="22"/>
          <w:szCs w:val="22"/>
          <w:color w:val="auto"/>
          <w:vertAlign w:val="superscript"/>
        </w:rPr>
      </w:pPr>
      <w:r>
        <w:rPr>
          <w:rFonts w:ascii="Arial" w:cs="Arial" w:eastAsia="Arial" w:hAnsi="Arial"/>
          <w:sz w:val="18"/>
          <w:szCs w:val="18"/>
          <w:color w:val="auto"/>
        </w:rPr>
        <w:t>Compensation expense is being recorded in the financial statements based on the fair value on the date of grant, in accordance with the provisions and guidelines of SFAS 123R and all relevant Interpretations and SEC Staff Accounting Bulletins.</w:t>
      </w:r>
    </w:p>
    <w:p>
      <w:pPr>
        <w:spacing w:after="0" w:line="76" w:lineRule="exact"/>
        <w:rPr>
          <w:rFonts w:ascii="Arial" w:cs="Arial" w:eastAsia="Arial" w:hAnsi="Arial"/>
          <w:sz w:val="22"/>
          <w:szCs w:val="22"/>
          <w:color w:val="auto"/>
          <w:vertAlign w:val="superscript"/>
        </w:rPr>
      </w:pPr>
    </w:p>
    <w:p>
      <w:pPr>
        <w:ind w:left="900" w:right="340" w:hanging="217"/>
        <w:spacing w:after="0" w:line="228" w:lineRule="auto"/>
        <w:tabs>
          <w:tab w:leader="none" w:pos="900" w:val="left"/>
        </w:tabs>
        <w:numPr>
          <w:ilvl w:val="1"/>
          <w:numId w:val="64"/>
        </w:numPr>
        <w:rPr>
          <w:rFonts w:ascii="Arial" w:cs="Arial" w:eastAsia="Arial" w:hAnsi="Arial"/>
          <w:sz w:val="22"/>
          <w:szCs w:val="22"/>
          <w:color w:val="auto"/>
          <w:vertAlign w:val="superscript"/>
        </w:rPr>
      </w:pPr>
      <w:r>
        <w:rPr>
          <w:rFonts w:ascii="Arial" w:cs="Arial" w:eastAsia="Arial" w:hAnsi="Arial"/>
          <w:sz w:val="18"/>
          <w:szCs w:val="18"/>
          <w:color w:val="auto"/>
        </w:rPr>
        <w:t>The grant date fair value for all new grants is being amortized to expense using the straight-line attribution method over the vesting period of the options.</w:t>
      </w:r>
    </w:p>
    <w:p>
      <w:pPr>
        <w:spacing w:after="0" w:line="76" w:lineRule="exact"/>
        <w:rPr>
          <w:rFonts w:ascii="Arial" w:cs="Arial" w:eastAsia="Arial" w:hAnsi="Arial"/>
          <w:sz w:val="22"/>
          <w:szCs w:val="22"/>
          <w:color w:val="auto"/>
          <w:vertAlign w:val="superscript"/>
        </w:rPr>
      </w:pPr>
    </w:p>
    <w:p>
      <w:pPr>
        <w:ind w:left="900" w:right="100" w:hanging="217"/>
        <w:spacing w:after="0" w:line="239" w:lineRule="auto"/>
        <w:tabs>
          <w:tab w:leader="none" w:pos="900" w:val="left"/>
        </w:tabs>
        <w:numPr>
          <w:ilvl w:val="1"/>
          <w:numId w:val="64"/>
        </w:numPr>
        <w:rPr>
          <w:rFonts w:ascii="Arial" w:cs="Arial" w:eastAsia="Arial" w:hAnsi="Arial"/>
          <w:sz w:val="22"/>
          <w:szCs w:val="22"/>
          <w:color w:val="auto"/>
          <w:vertAlign w:val="superscript"/>
        </w:rPr>
      </w:pPr>
      <w:r>
        <w:rPr>
          <w:rFonts w:ascii="Arial" w:cs="Arial" w:eastAsia="Arial" w:hAnsi="Arial"/>
          <w:sz w:val="18"/>
          <w:szCs w:val="18"/>
          <w:color w:val="auto"/>
        </w:rPr>
        <w:t>As discussed above, the Company has not determined a forfeiture rate for options that might not vest because of employee terminations. When an employee terminates, we will record a change in accounting estimate that represents the difference between the expense recorded under the straight-line method and the expense that would have been recorded based upon the rights to options that vested during the individual’s service as an employee.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stock-based compensation for employee options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From its inception in May 1998 through December 31, 2005, the Company accounted for stock-based compensation for options granted to employees and directors using the intrinsic value method prescribed in APB 25. Under the intrinsic value method, deferred stock-based compensation related to option grants to employees and directors represented the difference between the exercise price of an option and the fair value of the Company’s common stock on the date of the grant. Given the absence of an active market for the Company’s common stock prior to the IPO in April 2004, the Company’s management was required to estimate the fair value of its common stock based on a variety of company and industry-specific factors for the purpose of measuring the cost of the transaction and properly reflecting it in the financial statements. Since the Company’s IPO, all stock option grants have been at the closing price for the stock on the Nasdaq Capital Market as of the date of grant and no deferred compensation was recorded related to the options granted after the IPO.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amortizes the deferred stock-based compensation of employee options to expense using the graded-vesting method over the vesting periods of the applicable stock options, generally five years. The graded-vesting method provides for vesting of portions of the overall awards at interim dates and results in greater vesting in earlier years than the straight-line method. Upon termination of employment, the difference between the expense recorded under the graded-vesting method and the expense that would have been recorded based upon the vesting of the related option is reversed. As discussed above, this accounting practice is continuing to be followed in regard to the options granted prior to the IPO.</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Pro-forma net loss information required under SFAS123 for options accounted for under the intrinsic value method</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table presents the pro forma net loss information required under SFAS 123, as amended by SFAS 148, related to stock options granted to employees and directors prior to the IPO. In the pro forma calculation, amortization related to options to employees and directors that are accounted for under the intrinsic value method prescribed by APB 25 is added back to income and replaced with the expense that would have been reflected in the statements of operations in the respective periods as if the Company had accounted for these options under the fair value method prescribed by SFAS 123. For purposes of this disclosure, the fair value of the stock options is amortized to expense over the vesting periods of the options using the graded-vesting method. The resulting effects on net loss pursuant to SFAS 123 related to these options are not likely to be representative of the effects in future periods or years, due to the decelerating scale of expense recognition under the graded vesting method or the effect of any terminations.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noted above, the Company estimated the fair value of these options at the date of grant in accordance with SFAS 123, which allowed non-public companies to use the minimum value option pricing model and required the use of a model such as the Black-Scholes option pricing model for options granted by public companies. The Company has estimated the fair value of options granted prior to February 10, 2004, the date of filing of the Form S-1 for the Company’s IPO, using the minimum value option pricing model and has used the Black-Scholes option pricing model for determining the fair value of options granted on or after that date.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vMerge w:val="restart"/>
          </w:tcPr>
          <w:p>
            <w:pPr>
              <w:ind w:left="520"/>
              <w:spacing w:after="0"/>
              <w:rPr>
                <w:sz w:val="20"/>
                <w:szCs w:val="20"/>
                <w:color w:val="auto"/>
              </w:rPr>
            </w:pPr>
            <w:r>
              <w:rPr>
                <w:rFonts w:ascii="Arial" w:cs="Arial" w:eastAsia="Arial" w:hAnsi="Arial"/>
                <w:sz w:val="18"/>
                <w:szCs w:val="18"/>
                <w:b w:val="1"/>
                <w:bCs w:val="1"/>
                <w:color w:val="auto"/>
                <w:w w:val="90"/>
              </w:rPr>
              <w:t>Year Ended December 31,</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inception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gridSpan w:val="6"/>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1"/>
              </w:rPr>
              <w:t>(May 13, 1998) to</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w w:val="94"/>
              </w:rPr>
              <w:t>2007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2006</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5"/>
          </w:tcPr>
          <w:p>
            <w:pPr>
              <w:jc w:val="center"/>
              <w:spacing w:after="0" w:line="143" w:lineRule="exact"/>
              <w:rPr>
                <w:sz w:val="20"/>
                <w:szCs w:val="20"/>
                <w:color w:val="auto"/>
              </w:rPr>
            </w:pPr>
            <w:r>
              <w:rPr>
                <w:rFonts w:ascii="Arial" w:cs="Arial" w:eastAsia="Arial" w:hAnsi="Arial"/>
                <w:sz w:val="14"/>
                <w:szCs w:val="14"/>
                <w:i w:val="1"/>
                <w:iCs w:val="1"/>
                <w:color w:val="auto"/>
                <w:w w:val="86"/>
              </w:rPr>
              <w:t>(in thousands, except per share amounts)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loss—as reported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(20,061)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(11,573)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(24,873)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1"/>
              </w:rPr>
              <w:t>Adjustments to net loss related to stock awards to employees and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directors accounted for under the intrinsic value method: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back: Amortization of deferred compensation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Deduct: Stock-based employee compensation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determined under SFAS 123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(20,069)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(11,603)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(24,994)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420"/>
              <w:spacing w:after="0"/>
              <w:rPr>
                <w:sz w:val="20"/>
                <w:szCs w:val="20"/>
                <w:color w:val="auto"/>
              </w:rPr>
            </w:pPr>
            <w:r>
              <w:rPr>
                <w:rFonts w:ascii="Arial" w:cs="Arial" w:eastAsia="Arial" w:hAnsi="Arial"/>
                <w:sz w:val="18"/>
                <w:szCs w:val="18"/>
                <w:color w:val="auto"/>
              </w:rPr>
              <w:t>As reported net loss per share—basic and diluted</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vMerge w:val="continue"/>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(0.34)</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loss per share—basic and diluted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F-17</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pro forma adjustment reflected in the table above relates only to those options granted to employees and directors prior to the IPO because, as discussed above, these options continue to be accounted for using the intrinsic value method. This pro forma adjustment is not required after December 31, 2005 for options granted after the IPO that are now accounted for under SFAS 123R as their expense is recorded based on fair value at the date of grant since the adoption of SFAS 123R. For 2005 and all prior years, the pro forma adjustment relates to all options to employees and directors.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 used in determining fair value for options granted to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weighted-average assumptions and resultant fair value for options granted to employees.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7540" w:type="dxa"/>
            <w:vAlign w:val="bottom"/>
          </w:tcPr>
          <w:p>
            <w:pPr>
              <w:spacing w:after="0"/>
              <w:rPr>
                <w:sz w:val="19"/>
                <w:szCs w:val="19"/>
                <w:color w:val="auto"/>
              </w:rPr>
            </w:pP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Year Ended December 31,</w:t>
            </w:r>
          </w:p>
        </w:tc>
      </w:tr>
      <w:tr>
        <w:trPr>
          <w:trHeight w:val="211"/>
        </w:trPr>
        <w:tc>
          <w:tcPr>
            <w:tcW w:w="75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11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2007</w:t>
            </w:r>
          </w:p>
        </w:tc>
        <w:tc>
          <w:tcPr>
            <w:tcW w:w="11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2006</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for stock options granted:</w:t>
            </w: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2.63%</w:t>
            </w:r>
          </w:p>
        </w:tc>
        <w:tc>
          <w:tcPr>
            <w:tcW w:w="116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4.59%</w:t>
            </w:r>
          </w:p>
        </w:tc>
        <w:tc>
          <w:tcPr>
            <w:tcW w:w="116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4.98%</w:t>
            </w: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term</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3"/>
              </w:rPr>
              <w:t>6.0 years</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 years</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3"/>
              </w:rPr>
              <w:t>6.0 years</w:t>
            </w: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Expected volatility of stock price</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90.6%</w:t>
            </w:r>
          </w:p>
        </w:tc>
        <w:tc>
          <w:tcPr>
            <w:tcW w:w="116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87.2%</w:t>
            </w:r>
          </w:p>
        </w:tc>
        <w:tc>
          <w:tcPr>
            <w:tcW w:w="116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78.6%</w:t>
            </w: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rate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1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2"/>
              </w:rPr>
              <w:t>0%</w:t>
            </w:r>
          </w:p>
        </w:tc>
        <w:tc>
          <w:tcPr>
            <w:tcW w:w="11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2"/>
              </w:rPr>
              <w:t>0%</w:t>
            </w: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Weighted average fair value of grants issued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$1.12</w:t>
            </w:r>
          </w:p>
        </w:tc>
        <w:tc>
          <w:tcPr>
            <w:tcW w:w="116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$1.21</w:t>
            </w:r>
          </w:p>
        </w:tc>
        <w:tc>
          <w:tcPr>
            <w:tcW w:w="116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$3.09</w:t>
            </w:r>
          </w:p>
        </w:tc>
      </w:tr>
    </w:tbl>
    <w:p>
      <w:pPr>
        <w:spacing w:after="0" w:line="147"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 expected term for options granted since January 1, 2006 is based on the “simple” method prescribed by the SEC in Staff Accounting Bulletins 107 and 110, and considers the weighted average of the vesting period and contractual life of the options. For options granted during 2005 the expected term was based on the contractual life of the options. There has been no adjustment made to the expected term to adjust for employees’ expected exercise and expected post-vesting termination behavior because the Company has a limited employee base and does not have sufficient historical information to determine such an adjustment.</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expected volatility of the Company’s stock used in determining the fair value of option grants is based on a weighted-average combination of the volatility of the Company’s own stock price and that of a group of peer companies since the Company does not have sufficient historical data from which to base an appropriate valuation assumption.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expense related to non-employees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Options granted to non-employees are accounted for in accordance with Emerging Issues Task Force Issue No. 96-18, </w:t>
      </w:r>
      <w:r>
        <w:rPr>
          <w:rFonts w:ascii="Arial" w:cs="Arial" w:eastAsia="Arial" w:hAnsi="Arial"/>
          <w:sz w:val="18"/>
          <w:szCs w:val="18"/>
          <w:i w:val="1"/>
          <w:iCs w:val="1"/>
          <w:color w:val="auto"/>
        </w:rPr>
        <w:t>Accounting for Equity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Are Issued to Other Than Employees for Acquiring or in Conjunction with Selling, Goods or Services </w:t>
      </w:r>
      <w:r>
        <w:rPr>
          <w:rFonts w:ascii="Arial" w:cs="Arial" w:eastAsia="Arial" w:hAnsi="Arial"/>
          <w:sz w:val="18"/>
          <w:szCs w:val="18"/>
          <w:color w:val="auto"/>
        </w:rPr>
        <w:t>(“EITF 96-18”), and are periodically remeasured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they are earned.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Company accounts for income taxes under Statement of Financial Accounting Standards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this method, deferred tax assets and liabilities are determined based on the differences between the financial reporting and tax bases of assets and liabilities and are measured using the enacted tax rates that will be in effect when the differences are expected to reverse. A valuation allowance is recorded when it is more likely than not that the deferred tax asset will not be recovered.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On January 1, 2007, the Company adopted Financial Accounting Standards Board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or FIN 48, an interpretation of SFAS 109. FIN 48 clarifies the accounting for uncertain tax positions as described in SFAS 109, and requires a company to recognize, in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financial statements, the impact of a tax position only if that position is “more likely than not” of being sustained on an audit basis solely on the technical merit of the position. In addition, FIN 48 requires qualitative and quantitative disclosures including a discussion of reasonably possible changes that might occur in the recognized tax benefits over the next twelve months as well as a roll-forward of all unrecognized tax benefits. As a result of the implementation of FIN 48, the Company did not recognize any adjustment to the liability for uncertain tax positions or to its deferred tax assets for unrecognized tax benefits, all of which are currently offset by a full valuation allowance.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amounts have been recognized as interest or penalties on income tax related matters. The determination of an accounting policy as to the classification of such costs has been deferred until such time as any such costs are incurred.</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tax years from inception remain open to examination by the Internal Revenue Service and the California Franchise Tax Board until such time as the net operating losses and research credits are either fully utilized or expire.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In December 2007, the FASB ratified EITF No. 07-1, </w:t>
      </w:r>
      <w:r>
        <w:rPr>
          <w:rFonts w:ascii="Arial" w:cs="Arial" w:eastAsia="Arial" w:hAnsi="Arial"/>
          <w:sz w:val="16"/>
          <w:szCs w:val="16"/>
          <w:i w:val="1"/>
          <w:iCs w:val="1"/>
          <w:color w:val="auto"/>
        </w:rPr>
        <w:t>Accounting for Collaborative Arrangements</w:t>
      </w:r>
      <w:r>
        <w:rPr>
          <w:rFonts w:ascii="Arial" w:cs="Arial" w:eastAsia="Arial" w:hAnsi="Arial"/>
          <w:sz w:val="16"/>
          <w:szCs w:val="16"/>
          <w:color w:val="auto"/>
        </w:rPr>
        <w:t>, or EITF 07-1. EITF 07-1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 2008, and would be applied retrospectively as a change in accounting principle for collaborative arrangements existing at the effective date. There will be no material effect on the financial statements of the Company on the adoption of this standard.</w:t>
      </w:r>
    </w:p>
    <w:p>
      <w:pPr>
        <w:spacing w:after="0" w:line="195" w:lineRule="exact"/>
        <w:rPr>
          <w:sz w:val="20"/>
          <w:szCs w:val="20"/>
          <w:color w:val="auto"/>
        </w:rPr>
      </w:pPr>
    </w:p>
    <w:p>
      <w:pPr>
        <w:ind w:right="9220" w:firstLine="8"/>
        <w:spacing w:after="0" w:line="417" w:lineRule="auto"/>
        <w:tabs>
          <w:tab w:leader="none" w:pos="307"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Agreements Stanford License Agreements</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October 1998, the Company entered into an agreement with The Board of Trustees of Leland Stanford Junior University (“Stanford”) in which Stanford granted the Company an exclusive option to acquire an exclusive license for inventions and patents related to “Mifepristone for Psychotic Major Depression” and “Mifepristone and Alzheimer’s Disease” owned by Stanford.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1999, the Company exercised its option to acquire an exclusive license to patents covering the use of glucocorticoid receptors antagonists for the treatment of psychotic major depression, early dementia, and cocaine-induced psychosis, as specified in the license agreement. This license agreement expires upon the expiration of the related patents or upon notification by the Company to Stanford. In exchange for the license, the Company paid Stanford $47,000 and immediately issued 30,000 shares of the Company’s common stock to Stanford. The Company is further required to pay Stanford $50,000 per year as a nonrefundable royalty payment. The annual royalty payments are creditable against future royalties. The Company is also obligated to pay a $50,000 milestone upon filing of the first New Drug Application with the United States Food and Drug Administration (“FDA”) and a $200,000 milestone upon FDA approval of the related drug. The milestone payments are also creditable against future royalties. The Company has expensed the $47,000 payment made up front, the $50,000 annual nonrefundable royalty payments and the value of the common stock issued to Stanford as research and development costs.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Agreements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June 2000, the Company entered into a Memorandum of Understanding with a pharmaceutical manufacturer, ScinoPharm Taiwan, in which the manufacturer agreed to produce the active pharmaceutical ingredient (“API”) in CORLUX for the Company. In exchange, the Company agreed to share initial research and development costs related to the manufacturing process, which consisted of the acquisition of starting materials and equipment, as well as personnel costs, to complete the technology transfer, process development, and scale-up studies. Further, the Company has committed to purchase $1,000,000 per year of the API in CORLUX from the manufacturer following the receipt of marketing approval and initiation of sales of CORLUX.</w:t>
      </w:r>
    </w:p>
    <w:p>
      <w:pPr>
        <w:spacing w:after="0" w:line="1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On November 8, 2006, the Company signed an agreement with Produits Chimiques Auxiliaires et de Synthese SA (“PCAS”) for the manufacture of the API in CORLUX, for its development and commercial needs for an initial period of five years. The agreement provides for an automatic extension for one additional year unless either party gives twelve month’s prior notice that it does not want the extension. If PCAS is unable to manufacture the product for a consecutive six-month period, the Company has the right to terminate the agreement. There is no guaranteed minimum purchase commitment under this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Agreements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January 2003, the Company entered into a contract research agreement with Argenta Discovery Limited (“Argenta”) in which Argenta agreed to conduct research toward identifying a novel small molecule glucocorticoid receptor antagonist for the treatment of psychotic depression, Alzheimer’s disease, and other psychiatric and metabolic disorders. The project was expected to last at least two years, during which time the Company would make payments to Argenta based upon agreed-upon FTE (full-time equivalent) rates. By December 31, 2008, work under the initial agreement with Argenta and major subsequent amendments has been concluded. The Company continues its relationship with Argenta requesting them to conduct minor research projects from time to time. Under the agreements with Argenta, the Company may be obligated to make milestone payments upon the occurrence of certain events, including: (i) patent filings in connection with the project; (ii) entries into Phase 1 clinical trials; and (iii) national regulatory approval of each product arising from work performed under the agreement, provided that sales of the product by the Company or any future licensees reach $5,000,000. These obligations remain in force after the conclusion of work under the agreement.</w:t>
      </w:r>
    </w:p>
    <w:p>
      <w:pPr>
        <w:spacing w:after="0" w:line="12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Through 2006, the Company executed a number of agreements relating to our earlier Phase 3 clinical trials evaluating CORLUX for the treatment of the psychotic features of psychotic major depression. As of December 31, 2008, approximately $205,000 of costs remained to be expensed under these agreements.</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October 2005, the Company signed an agreement with Eli Lilly and Company (“Lilly”) in which Lilly agreed to support the Company’s proof of concept clinical study evaluating the ability of CORLUX, a GR-II antagonist, to mitigate weight gain associated with the use of Zyprexa. Under the agreement, Lilly agreed to supply Zyprexa and pay for the study. This study, completed in 2007, was conducted in healthy male volunteers.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2007 and 2008, the Company signed agreements for services in connection with the trial for CORLUX for the treatment of Cushing’s Syndrome. The total commitment under these agreements is approximately $1.6 million. Approximately $365,000 has been expensed under these agreements through December 31, 2008. Approximately $595,000 of costs are expected to be incurred under these agreements during 2009, with the remainder to be expensed over the remainder of the trial. Under the master agreement with these vendors, the agreements may be terminated upon sixty days notice to the vendors. If terminated early, the Company would be responsible for the costs incurred by the vendor through the effective date of the termination plus cancellation charges as stipulated in the various agreements.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2007, the Company signed a Letter of Intent (“LOI”) with ICON Clinical Research, L.P. (“ICON”) and, on June 4, 2008 the Company executed a Master Service Agreement (MSA) and a Project Contract (Contract), with ICON to assist the Company in various clinical trial activities, including the selection of clinical sites, supervision and monitoring of clinical site performance, data collection and analysis in connection with Study 14, the Company’s current Phase 3 trial to confirm the utility of CORLUX for the treatment of the psychotic features of psychotic depression. The total commitment under this agreement, including amendments executed in September and December 2008 and the Letter of Intent signed in November 2007, is estimated to be approximately $17.2 million over the course of the trial, assuming a total patient enrollment of 450. Approximately $2.5 million of costs under this agreement was expensed during 2008. We expect to incur costs of approximately $3.2 million during 2009. The actual amount and timing of expense recognition and payments will depend upon various factors, including the timing of site initiation, the pace of patient enrollment, the fees negotiated with site investigators, the timing of other trial activities and the timing of payments of pass-through costs, such as grants to investigators and laboratory services. The Contract may be terminated by the Company at any time upon sixty days’ written notice, or sooner based on mutual agreement of the parties. Upon termination, the Company would be obligated to pay ICON for services performed and pass-through costs incurred to the date of termination plus a cancellation fee to compensate the CRO for staff reallocation costs.</w:t>
      </w:r>
    </w:p>
    <w:p>
      <w:pPr>
        <w:spacing w:after="0" w:line="34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Company entered into an agreement with MedAvante, Inc., effective March 17, 2008, under which MedAvante will provide centralized psychiatric rating services of patients to be screened and enrolled in its current Phase 3 clinical trial evaluating CORLUX for the treatment of the psychotic features of psychotic depression. The total commitment under this agreement, including an amendment signed in July 2008, is approximately $4.0 million, which will be incurred over the course of the trial. Approximately $1.2 million of costs under this agreement was expensed during 2008. We expect to incur costs of approximately $1.1 million during 2009, with the remainder of any actual costs to be incurred over the course of the trial. This agreement may be terminated by Corcept with 30 days notice to MedAvante. In the event of termination, the Company is obligated to pay certain costs including costs incurred to date, costs associated with any non-cancellable commitments for video service connectivity and costs of staff assigned to the project for a period of three months or until such time as they can be assigned to other projects, whichever is less.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2008, the Company signed an agreement with a clinical research organization (CRO) to provide clinical services for our study of CORLUX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mitigation of weight gain induced by an atypical antipsychotic medication, Risperdal, for a total commitment of approximately $1.0 million.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$495,000 of this commitment was expensed during the year ended December 31, 2008, with the remainder of any actual costs to be expensed during 2009.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may be terminated with a 45-day written notice.</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September 3, 2008 Corcept entered into an agreement with Eli Lilly and Company (Lilly) whereby Lilly agreed to fund studies by the Company to test the effectiveness of Corcept’s selective GRII receptor antagonist, CORT 108297, in rat models of olanzapine induced weight gain. The total commitment from Lilly under this agreement was approximately $240,000. The majority of the substantive work on these studies was completed during 2008, with approximately $209,000 of the revenue from this agreement being recognized during that year. The remainder of the cost and revenue will be recognized during 2009.</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14—Subsequent events for discussion of agreements signed during the first quarter of 2009.</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Fair Value Measurements on a Recurring Basis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2008, the Company’s financial assets were invested in money market funds, which can be converted to cash at par on demand, and in commercial paper and corporate debt securities with maturities of less than nine months. In accordance with SFAS 157, the following table represents the Company’s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hierarchy for its financial assets (cash equivalents and short-term investments) measured at fair value on a recurring basis as of December 31, 2008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1"/>
              </w:rPr>
              <w:t>Level 1</w:t>
            </w: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7"/>
          </w:tcPr>
          <w:p>
            <w:pPr>
              <w:jc w:val="right"/>
              <w:ind w:right="460"/>
              <w:spacing w:after="0" w:line="143" w:lineRule="exact"/>
              <w:rPr>
                <w:sz w:val="20"/>
                <w:szCs w:val="20"/>
                <w:color w:val="auto"/>
              </w:rPr>
            </w:pPr>
            <w:r>
              <w:rPr>
                <w:rFonts w:ascii="Arial" w:cs="Arial" w:eastAsia="Arial" w:hAnsi="Arial"/>
                <w:sz w:val="14"/>
                <w:szCs w:val="14"/>
                <w:i w:val="1"/>
                <w:iCs w:val="1"/>
                <w:color w:val="auto"/>
                <w:w w:val="88"/>
              </w:rPr>
              <w:t>( in thousands)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center"/>
              <w:ind w:right="280"/>
              <w:spacing w:after="0"/>
              <w:rPr>
                <w:sz w:val="20"/>
                <w:szCs w:val="20"/>
                <w:color w:val="auto"/>
              </w:rPr>
            </w:pPr>
            <w:r>
              <w:rPr>
                <w:rFonts w:ascii="Arial" w:cs="Arial" w:eastAsia="Arial" w:hAnsi="Arial"/>
                <w:sz w:val="18"/>
                <w:szCs w:val="18"/>
                <w:color w:val="auto"/>
                <w:w w:val="85"/>
              </w:rPr>
              <w:t>$ 13,282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paper</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3680" w:type="dxa"/>
            <w:vAlign w:val="bottom"/>
          </w:tcPr>
          <w:p>
            <w:pPr>
              <w:ind w:left="44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5"/>
          </w:tcPr>
          <w:p>
            <w:pPr>
              <w:jc w:val="center"/>
              <w:ind w:right="280"/>
              <w:spacing w:after="0"/>
              <w:rPr>
                <w:sz w:val="20"/>
                <w:szCs w:val="20"/>
                <w:color w:val="auto"/>
              </w:rPr>
            </w:pPr>
            <w:r>
              <w:rPr>
                <w:rFonts w:ascii="Arial" w:cs="Arial" w:eastAsia="Arial" w:hAnsi="Arial"/>
                <w:sz w:val="18"/>
                <w:szCs w:val="18"/>
                <w:color w:val="auto"/>
                <w:w w:val="85"/>
              </w:rPr>
              <w:t>$ 13,282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0"/>
        </w:trPr>
        <w:tc>
          <w:tcPr>
            <w:tcW w:w="8900" w:type="dxa"/>
            <w:vAlign w:val="bottom"/>
            <w:gridSpan w:val="12"/>
            <w:vMerge w:val="restart"/>
          </w:tcPr>
          <w:p>
            <w:pPr>
              <w:ind w:left="460"/>
              <w:spacing w:after="0"/>
              <w:rPr>
                <w:sz w:val="20"/>
                <w:szCs w:val="20"/>
                <w:color w:val="auto"/>
              </w:rPr>
            </w:pPr>
            <w:r>
              <w:rPr>
                <w:rFonts w:ascii="Arial" w:cs="Arial" w:eastAsia="Arial" w:hAnsi="Arial"/>
                <w:sz w:val="18"/>
                <w:szCs w:val="18"/>
                <w:color w:val="auto"/>
              </w:rPr>
              <w:t>All cash equivalents and short-term investments held as of December 30, 2008 were in active markets.</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900" w:type="dxa"/>
            <w:vAlign w:val="bottom"/>
            <w:gridSpan w:val="12"/>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4.  Financial Instruments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00" w:type="dxa"/>
            <w:vAlign w:val="bottom"/>
            <w:gridSpan w:val="12"/>
          </w:tcPr>
          <w:p>
            <w:pPr>
              <w:ind w:left="460"/>
              <w:spacing w:after="0"/>
              <w:rPr>
                <w:sz w:val="20"/>
                <w:szCs w:val="20"/>
                <w:color w:val="auto"/>
              </w:rPr>
            </w:pPr>
            <w:r>
              <w:rPr>
                <w:rFonts w:ascii="Arial" w:cs="Arial" w:eastAsia="Arial" w:hAnsi="Arial"/>
                <w:sz w:val="18"/>
                <w:szCs w:val="18"/>
                <w:color w:val="auto"/>
                <w:w w:val="89"/>
              </w:rPr>
              <w:t>The following is a summary of cash, cash equivalents and short-term investments as of December 31, 2008 and 2007: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Arial" w:cs="Arial" w:eastAsia="Arial" w:hAnsi="Arial"/>
                <w:sz w:val="18"/>
                <w:szCs w:val="18"/>
                <w:b w:val="1"/>
                <w:bCs w:val="1"/>
                <w:color w:val="auto"/>
              </w:rPr>
              <w:t>Unrealized</w:t>
            </w:r>
          </w:p>
        </w:tc>
        <w:tc>
          <w:tcPr>
            <w:tcW w:w="1460" w:type="dxa"/>
            <w:vAlign w:val="bottom"/>
            <w:gridSpan w:val="6"/>
          </w:tcPr>
          <w:p>
            <w:pPr>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89"/>
              </w:rPr>
              <w:t>Gain</w:t>
            </w:r>
          </w:p>
        </w:tc>
        <w:tc>
          <w:tcPr>
            <w:tcW w:w="78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90"/>
              </w:rPr>
              <w:t>Loss</w:t>
            </w:r>
          </w:p>
        </w:tc>
        <w:tc>
          <w:tcPr>
            <w:tcW w:w="6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tcPr>
          <w:p>
            <w:pPr>
              <w:ind w:left="240"/>
              <w:spacing w:after="0"/>
              <w:rPr>
                <w:sz w:val="20"/>
                <w:szCs w:val="20"/>
                <w:color w:val="auto"/>
              </w:rPr>
            </w:pPr>
            <w:r>
              <w:rPr>
                <w:rFonts w:ascii="Arial" w:cs="Arial" w:eastAsia="Arial" w:hAnsi="Arial"/>
                <w:sz w:val="14"/>
                <w:szCs w:val="14"/>
                <w:i w:val="1"/>
                <w:iCs w:val="1"/>
                <w:color w:val="auto"/>
              </w:rPr>
              <w:t>(all amounts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$ 1,434</w:t>
            </w:r>
          </w:p>
        </w:tc>
        <w:tc>
          <w:tcPr>
            <w:tcW w:w="20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paper</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434"/>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18,310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center"/>
              <w:ind w:left="434"/>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18,309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Reported as:</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$14,716</w:t>
            </w:r>
          </w:p>
        </w:tc>
        <w:tc>
          <w:tcPr>
            <w:tcW w:w="20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investments</w:t>
            </w:r>
          </w:p>
        </w:tc>
        <w:tc>
          <w:tcPr>
            <w:tcW w:w="1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79"/>
              </w:rPr>
              <w:t>2</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18,310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center"/>
              <w:ind w:left="434"/>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18,309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Unrealized</w:t>
            </w:r>
          </w:p>
        </w:tc>
        <w:tc>
          <w:tcPr>
            <w:tcW w:w="1460" w:type="dxa"/>
            <w:vAlign w:val="bottom"/>
            <w:gridSpan w:val="6"/>
          </w:tcPr>
          <w:p>
            <w:pPr>
              <w:ind w:left="2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Cost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Gain</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b w:val="1"/>
                <w:bCs w:val="1"/>
                <w:color w:val="auto"/>
              </w:rPr>
              <w:t>Loss</w:t>
            </w:r>
          </w:p>
        </w:tc>
        <w:tc>
          <w:tcPr>
            <w:tcW w:w="6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tcPr>
          <w:p>
            <w:pPr>
              <w:ind w:left="340"/>
              <w:spacing w:after="0"/>
              <w:rPr>
                <w:sz w:val="20"/>
                <w:szCs w:val="20"/>
                <w:color w:val="auto"/>
              </w:rPr>
            </w:pPr>
            <w:r>
              <w:rPr>
                <w:rFonts w:ascii="Arial" w:cs="Arial" w:eastAsia="Arial" w:hAnsi="Arial"/>
                <w:sz w:val="14"/>
                <w:szCs w:val="14"/>
                <w:i w:val="1"/>
                <w:iCs w:val="1"/>
                <w:color w:val="auto"/>
              </w:rPr>
              <w:t>(all amounts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2007</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   252</w:t>
            </w:r>
          </w:p>
        </w:tc>
        <w:tc>
          <w:tcPr>
            <w:tcW w:w="740" w:type="dxa"/>
            <w:vAlign w:val="bottom"/>
            <w:gridSpan w:val="3"/>
          </w:tcPr>
          <w:p>
            <w:pPr>
              <w:ind w:left="660"/>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4"/>
          </w:tcPr>
          <w:p>
            <w:pPr>
              <w:jc w:val="center"/>
              <w:ind w:right="520"/>
              <w:spacing w:after="0"/>
              <w:rPr>
                <w:sz w:val="20"/>
                <w:szCs w:val="20"/>
                <w:color w:val="auto"/>
              </w:rPr>
            </w:pPr>
            <w:r>
              <w:rPr>
                <w:rFonts w:ascii="Arial" w:cs="Arial" w:eastAsia="Arial" w:hAnsi="Arial"/>
                <w:sz w:val="18"/>
                <w:szCs w:val="18"/>
                <w:color w:val="auto"/>
                <w:w w:val="99"/>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paper</w:t>
            </w:r>
          </w:p>
        </w:tc>
        <w:tc>
          <w:tcPr>
            <w:tcW w:w="206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7,976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17,363</w:t>
            </w:r>
          </w:p>
        </w:tc>
        <w:tc>
          <w:tcPr>
            <w:tcW w:w="740" w:type="dxa"/>
            <w:vAlign w:val="bottom"/>
            <w:gridSpan w:val="3"/>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460"/>
              <w:spacing w:after="0"/>
              <w:rPr>
                <w:sz w:val="20"/>
                <w:szCs w:val="20"/>
                <w:color w:val="auto"/>
              </w:rPr>
            </w:pPr>
            <w:r>
              <w:rPr>
                <w:rFonts w:ascii="Arial" w:cs="Arial" w:eastAsia="Arial" w:hAnsi="Arial"/>
                <w:sz w:val="18"/>
                <w:szCs w:val="18"/>
                <w:color w:val="auto"/>
              </w:rPr>
              <w:t>Reported as:</w:t>
            </w: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$11,432</w:t>
            </w:r>
          </w:p>
        </w:tc>
        <w:tc>
          <w:tcPr>
            <w:tcW w:w="740" w:type="dxa"/>
            <w:vAlign w:val="bottom"/>
            <w:gridSpan w:val="3"/>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8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206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5,931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17,363</w:t>
            </w:r>
          </w:p>
        </w:tc>
        <w:tc>
          <w:tcPr>
            <w:tcW w:w="740" w:type="dxa"/>
            <w:vAlign w:val="bottom"/>
            <w:gridSpan w:val="3"/>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40" w:type="dxa"/>
            <w:vAlign w:val="bottom"/>
            <w:gridSpan w:val="4"/>
          </w:tcPr>
          <w:p>
            <w:pPr>
              <w:jc w:val="right"/>
              <w:ind w:right="900"/>
              <w:spacing w:after="0"/>
              <w:rPr>
                <w:sz w:val="20"/>
                <w:szCs w:val="20"/>
                <w:color w:val="auto"/>
              </w:rPr>
            </w:pPr>
            <w:r>
              <w:rPr>
                <w:rFonts w:ascii="Arial" w:cs="Arial" w:eastAsia="Arial" w:hAnsi="Arial"/>
                <w:sz w:val="18"/>
                <w:szCs w:val="18"/>
                <w:color w:val="auto"/>
              </w:rPr>
              <w:t>F-22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there were no mortgage-backed securities and no auction rate securities in the portfolio.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short-term investments at December 31, 2008 have remaining maturities of less than one year.</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net realized loss on sales of available-for-sales investments was not material for any period presented. Realized gains and losses are calculated based on the specific identification method.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960" w:type="dxa"/>
            <w:vAlign w:val="bottom"/>
          </w:tcPr>
          <w:p>
            <w:pPr>
              <w:spacing w:after="0"/>
              <w:rPr>
                <w:sz w:val="20"/>
                <w:szCs w:val="20"/>
                <w:color w:val="auto"/>
              </w:rPr>
            </w:pPr>
            <w:r>
              <w:rPr>
                <w:rFonts w:ascii="Arial" w:cs="Arial" w:eastAsia="Arial" w:hAnsi="Arial"/>
                <w:sz w:val="18"/>
                <w:szCs w:val="18"/>
                <w:color w:val="auto"/>
              </w:rPr>
              <w:t>Property and equipment, including assets purchased under capitalized leases, consists of the following:</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0"/>
        </w:trPr>
        <w:tc>
          <w:tcPr>
            <w:tcW w:w="8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11"/>
        </w:trPr>
        <w:tc>
          <w:tcPr>
            <w:tcW w:w="896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2008</w:t>
            </w:r>
          </w:p>
        </w:tc>
        <w:tc>
          <w:tcPr>
            <w:tcW w:w="56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2007</w:t>
            </w:r>
          </w:p>
        </w:tc>
        <w:tc>
          <w:tcPr>
            <w:tcW w:w="60" w:type="dxa"/>
            <w:vAlign w:val="bottom"/>
          </w:tcPr>
          <w:p>
            <w:pPr>
              <w:spacing w:after="0"/>
              <w:rPr>
                <w:sz w:val="18"/>
                <w:szCs w:val="18"/>
                <w:color w:val="auto"/>
              </w:rPr>
            </w:pPr>
          </w:p>
        </w:tc>
      </w:tr>
      <w:tr>
        <w:trPr>
          <w:trHeight w:val="142"/>
        </w:trPr>
        <w:tc>
          <w:tcPr>
            <w:tcW w:w="8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9"/>
                <w:szCs w:val="19"/>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9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0"/>
        </w:trPr>
        <w:tc>
          <w:tcPr>
            <w:tcW w:w="8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Furniture and equipment recorded under capital leases of approximately $59,000 was acquired during 2005. Amortization expense related to assets under capital lease was approximately $12,000 and $13,000, respectively for the years ended December 31, 2008 and 2007. One of the capital leases expired during 2008. The equipment was returned to the lessor and the cost and accumulated amortization related to the asset of $15,000 were removed from the accounting records. As of December 31, 2008, approximately $44,000 of furniture remained subject to lien under a capital lease.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2008, a new piece of equipment was purchased for cash at a cost of approximately $7,000. Depreciation during 2008 was not material.</w:t>
      </w:r>
    </w:p>
    <w:p>
      <w:pPr>
        <w:spacing w:after="0" w:line="2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Other Liabilities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060" w:type="dxa"/>
            <w:vAlign w:val="bottom"/>
          </w:tcPr>
          <w:p>
            <w:pPr>
              <w:spacing w:after="0"/>
              <w:rPr>
                <w:sz w:val="20"/>
                <w:szCs w:val="20"/>
                <w:color w:val="auto"/>
              </w:rPr>
            </w:pPr>
            <w:r>
              <w:rPr>
                <w:rFonts w:ascii="Arial" w:cs="Arial" w:eastAsia="Arial" w:hAnsi="Arial"/>
                <w:sz w:val="18"/>
                <w:szCs w:val="18"/>
                <w:color w:val="auto"/>
              </w:rPr>
              <w:t>At December 31, 2008 and 2007 other accrued liabilities consisted of the following:</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0"/>
        </w:trPr>
        <w:tc>
          <w:tcPr>
            <w:tcW w:w="9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w w:val="90"/>
              </w:rPr>
              <w:t>December 31,</w:t>
            </w:r>
          </w:p>
        </w:tc>
      </w:tr>
      <w:tr>
        <w:trPr>
          <w:trHeight w:val="211"/>
        </w:trPr>
        <w:tc>
          <w:tcPr>
            <w:tcW w:w="9060" w:type="dxa"/>
            <w:vAlign w:val="bottom"/>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2008</w:t>
            </w:r>
          </w:p>
        </w:tc>
        <w:tc>
          <w:tcPr>
            <w:tcW w:w="500" w:type="dxa"/>
            <w:vAlign w:val="bottom"/>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2007</w:t>
            </w:r>
          </w:p>
        </w:tc>
      </w:tr>
      <w:tr>
        <w:trPr>
          <w:trHeight w:val="142"/>
        </w:trPr>
        <w:tc>
          <w:tcPr>
            <w:tcW w:w="9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i w:val="1"/>
                <w:iCs w:val="1"/>
                <w:color w:val="auto"/>
              </w:rPr>
              <w:t>(in</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i w:val="1"/>
                <w:iCs w:val="1"/>
                <w:color w:val="auto"/>
                <w:w w:val="89"/>
              </w:rPr>
              <w:t>thousands)</w:t>
            </w:r>
          </w:p>
        </w:tc>
        <w:tc>
          <w:tcPr>
            <w:tcW w:w="300" w:type="dxa"/>
            <w:vAlign w:val="bottom"/>
          </w:tcPr>
          <w:p>
            <w:pPr>
              <w:spacing w:after="0"/>
              <w:rPr>
                <w:sz w:val="12"/>
                <w:szCs w:val="12"/>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Accrued legal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258</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90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316</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350</w:t>
            </w:r>
          </w:p>
        </w:tc>
      </w:tr>
      <w:tr>
        <w:trPr>
          <w:trHeight w:val="20"/>
        </w:trPr>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Lease Obligations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October 20, 2008, the Company renewed its lease for office space for a two-year term commencing on January 1, 2009 at a monthly cost of approximately $20,000 plus operating expenses. The new lease provides an option to the Company to extend the lease for an additional year upon 180 days notice.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2005, the Company acquired office equipment and furniture of approximately $59,000 under leases that have been classified as capital leases. The leases are payable over varying terms ranging from 39 to 60 months at regular monthly payments totaling approximately $1,400. One of the leases expired during 2008. The estimated principal portion of payments within the next year under the remaining lease is classified as short-term, with the remaining balance classified as long-term.</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following table provides a summary of the principal payment obligations under the capital leases and the minimum rental payments under the operating lease as of December 31, 2008.</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8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Operating</w:t>
            </w:r>
          </w:p>
        </w:tc>
        <w:tc>
          <w:tcPr>
            <w:tcW w:w="0" w:type="dxa"/>
            <w:vAlign w:val="bottom"/>
          </w:tcPr>
          <w:p>
            <w:pPr>
              <w:spacing w:after="0"/>
              <w:rPr>
                <w:sz w:val="1"/>
                <w:szCs w:val="1"/>
                <w:color w:val="auto"/>
              </w:rPr>
            </w:pPr>
          </w:p>
        </w:tc>
      </w:tr>
      <w:tr>
        <w:trPr>
          <w:trHeight w:val="228"/>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520" w:type="dxa"/>
            <w:vAlign w:val="bottom"/>
          </w:tcPr>
          <w:p>
            <w:pPr>
              <w:spacing w:after="0"/>
              <w:rPr>
                <w:sz w:val="19"/>
                <w:szCs w:val="19"/>
                <w:color w:val="auto"/>
              </w:rPr>
            </w:pPr>
          </w:p>
        </w:tc>
        <w:tc>
          <w:tcPr>
            <w:tcW w:w="680" w:type="dxa"/>
            <w:vAlign w:val="bottom"/>
            <w:gridSpan w:val="3"/>
          </w:tcPr>
          <w:p>
            <w:pPr>
              <w:ind w:left="40"/>
              <w:spacing w:after="0"/>
              <w:rPr>
                <w:sz w:val="20"/>
                <w:szCs w:val="20"/>
                <w:color w:val="auto"/>
              </w:rPr>
            </w:pPr>
            <w:r>
              <w:rPr>
                <w:rFonts w:ascii="Arial" w:cs="Arial" w:eastAsia="Arial" w:hAnsi="Arial"/>
                <w:sz w:val="18"/>
                <w:szCs w:val="18"/>
                <w:b w:val="1"/>
                <w:bCs w:val="1"/>
                <w:color w:val="auto"/>
              </w:rPr>
              <w:t>Leases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144"/>
        </w:trPr>
        <w:tc>
          <w:tcPr>
            <w:tcW w:w="2080" w:type="dxa"/>
            <w:vAlign w:val="bottom"/>
            <w:tcBorders>
              <w:top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60"/>
              <w:spacing w:after="0" w:line="144" w:lineRule="exact"/>
              <w:rPr>
                <w:sz w:val="20"/>
                <w:szCs w:val="20"/>
                <w:color w:val="auto"/>
              </w:rPr>
            </w:pPr>
            <w:r>
              <w:rPr>
                <w:rFonts w:ascii="Arial" w:cs="Arial" w:eastAsia="Arial" w:hAnsi="Arial"/>
                <w:sz w:val="14"/>
                <w:szCs w:val="14"/>
                <w:i w:val="1"/>
                <w:iCs w:val="1"/>
                <w:color w:val="auto"/>
                <w:w w:val="81"/>
              </w:rPr>
              <w:t>(in thousands)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27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80" w:type="dxa"/>
            <w:vAlign w:val="bottom"/>
          </w:tcPr>
          <w:p>
            <w:pPr>
              <w:ind w:left="440"/>
              <w:spacing w:after="0"/>
              <w:rPr>
                <w:sz w:val="20"/>
                <w:szCs w:val="20"/>
                <w:color w:val="auto"/>
              </w:rPr>
            </w:pPr>
            <w:r>
              <w:rPr>
                <w:rFonts w:ascii="Arial" w:cs="Arial" w:eastAsia="Arial" w:hAnsi="Arial"/>
                <w:sz w:val="18"/>
                <w:szCs w:val="18"/>
                <w:color w:val="auto"/>
              </w:rPr>
              <w:t>2010</w:t>
            </w:r>
          </w:p>
        </w:tc>
        <w:tc>
          <w:tcPr>
            <w:tcW w:w="27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obligation</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Less current portion</w:t>
            </w: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 of obligation</w:t>
            </w:r>
          </w:p>
        </w:tc>
        <w:tc>
          <w:tcPr>
            <w:tcW w:w="25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Rent expense amounted to approximately $265,000, $185,000, $171,000 and $1.6 million for the years ended December 31, 2008, 2007 and 2006, and the period from inception (May 13, 1998) to December 31, 2008, respectively.</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Related Party Transactions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discussion below in footnote 9, Preferred Stock and Stockholders’ Equity, Stockholder Notes Receivable, regarding the note receivable from Paperboy Ventures. This note and all accrued interest thereon were repaid on February 6,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23, 2008 the Board of Directors approved the engagement of Abbrah Publishing LLC (Abbrah), a firm in which the son of James N. Wilson,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chairman, is a principal, to assist the Company in the preparation and placement of materials to facilitate the recruitment of patients in its Cushing’s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Syndrome trial, based on, among other things, the special qualifications of Abbrah and its willingness to accept performance-based compensation of its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to Abbrah is based the number of patients actually enrolled in the study based on their materials. An initial payment is due upon patient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enrollment, with an additional amount due if the patient completes the study. During the year ended December 31, 2008, the Company recorded expense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$2,000 as compensation to Abbrah. An additional expense of $18,000 is expected to be recorded during 2009 in connection with these services assuming patient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completion in the study.</w:t>
      </w:r>
    </w:p>
    <w:p>
      <w:pPr>
        <w:spacing w:after="0" w:line="240" w:lineRule="exact"/>
        <w:rPr>
          <w:sz w:val="20"/>
          <w:szCs w:val="20"/>
          <w:color w:val="auto"/>
        </w:rPr>
      </w:pPr>
    </w:p>
    <w:p>
      <w:pPr>
        <w:ind w:right="7940" w:firstLine="8"/>
        <w:spacing w:after="0" w:line="347" w:lineRule="auto"/>
        <w:tabs>
          <w:tab w:leader="none" w:pos="307"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Stockholders’ Equity Preferred Stock</w:t>
      </w:r>
    </w:p>
    <w:p>
      <w:pPr>
        <w:spacing w:after="0" w:line="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board of directors is authorized, subject to any limitations prescribed by law, without stockholder approval, to issue up to an aggregate of 10,000,000 shares of preferred stock at $0.001 par value in one or more series and to fix the rights, preferences, privileges and restrictions granted to or imposed upon the preferred stock, including voting rights, dividend rights, conversion rights, redemption privileges and liquidation preferences. The rights of the holders of common stock will be subject to the rights of holders of any preferred stock that may be issued in the future.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460" w:right="3680" w:firstLine="3237"/>
        <w:spacing w:after="0" w:line="533" w:lineRule="auto"/>
        <w:rPr>
          <w:sz w:val="20"/>
          <w:szCs w:val="20"/>
          <w:color w:val="auto"/>
        </w:rPr>
      </w:pPr>
      <w:r>
        <w:rPr>
          <w:rFonts w:ascii="Arial" w:cs="Arial" w:eastAsia="Arial" w:hAnsi="Arial"/>
          <w:sz w:val="16"/>
          <w:szCs w:val="16"/>
          <w:b w:val="1"/>
          <w:bCs w:val="1"/>
          <w:color w:val="auto"/>
        </w:rPr>
        <w:t xml:space="preserve">NOTES TO FINANCIAL STATEMENTS, Continued </w:t>
      </w:r>
      <w:r>
        <w:rPr>
          <w:rFonts w:ascii="Arial" w:cs="Arial" w:eastAsia="Arial" w:hAnsi="Arial"/>
          <w:sz w:val="16"/>
          <w:szCs w:val="16"/>
          <w:color w:val="auto"/>
        </w:rPr>
        <w:t>As of December 31, 2008 and 2007, the Company has no outstanding shares of preferred stock.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Company’s authorized capital stock includes 140,000,000 shares of common stock at $0.001 par value. Holders of common stock are entitled to one vote per share on all matters to be voted upon by the stockholders of the Company.</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25, 2008, the Company sold approximately 8.9 million shares of its common stock at a price of $2.77 per share and warrants to purchase approximately 4.5 million shares of its common stock, at a price of $0.125 per warrant in a private placement (the March 2008 Financing), reflecting a total price per unit of $2.84. The warrants have a seven year term and an exercise price of $2.77 per share. One investor financed the purchase of its securities in this transaction with a promissory note to the Company in the amount of $6.0 million. The note receivable bears interest to the Company at a rate of 9.25% per annum as of December 31, 2008, is a full recourse note and is secured by a pledge of the securities purchased being held by the Company as collateral for the note together with additional securities owned by the borrower. As discussed in footnote 14—Subsequent Events, the note was repaid on February 6, 2009, including all accrued interest and costs. The March 2008 Financing generated proceeds of approximately $25 million, net of costs of issuance, after payment was received on the note.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registration rights agreement covering the approximately 8.9 million shares issued in the March 2008 Financing and the additional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4.5 million shares underlying warrants issued in connection with that offering provides that if the Company fails to file or cause to be declared effective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or registration statements covering the resale of these shares prior to specified deadlines, or fails to maintain the effectiveness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statements (subject to limited permissible suspension periods), the Company may be required to pay the holders of such shares and 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liquidated damages at the rate of 1% per month of the purchase price of these shares and warrants, up to a total of 10%. The Company filed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covering the resale of the shares sold and shares underlying the warrants sold in this transaction with the Securities and Exchange Commission (SEC)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April 11, 2008, within the time period required by the agreement. However, this registration statement was not declared effective by the SEC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10, 2008, and accordingly, the Company became obligated to pay the liquidated damages to the investors in this transaction.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Accounting Standards Board (FASB) Statement No. 5</w:t>
      </w:r>
      <w:r>
        <w:rPr>
          <w:rFonts w:ascii="Arial" w:cs="Arial" w:eastAsia="Arial" w:hAnsi="Arial"/>
          <w:sz w:val="16"/>
          <w:szCs w:val="16"/>
          <w:i w:val="1"/>
          <w:iCs w:val="1"/>
          <w:color w:val="auto"/>
        </w:rPr>
        <w:t>, Accounting for Contingencies,</w:t>
      </w:r>
      <w:r>
        <w:rPr>
          <w:rFonts w:ascii="Arial" w:cs="Arial" w:eastAsia="Arial" w:hAnsi="Arial"/>
          <w:sz w:val="16"/>
          <w:szCs w:val="16"/>
          <w:color w:val="auto"/>
        </w:rPr>
        <w:t xml:space="preserve"> (FAS 5) and FASB Staff Position on Emerging Issues Task Force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Issue 00-19-2, </w:t>
      </w:r>
      <w:r>
        <w:rPr>
          <w:rFonts w:ascii="Arial" w:cs="Arial" w:eastAsia="Arial" w:hAnsi="Arial"/>
          <w:sz w:val="16"/>
          <w:szCs w:val="16"/>
          <w:i w:val="1"/>
          <w:iCs w:val="1"/>
          <w:color w:val="auto"/>
        </w:rPr>
        <w:t>Accounting for Registration Payment Arrangements</w:t>
      </w:r>
      <w:r>
        <w:rPr>
          <w:rFonts w:ascii="Arial" w:cs="Arial" w:eastAsia="Arial" w:hAnsi="Arial"/>
          <w:sz w:val="16"/>
          <w:szCs w:val="16"/>
          <w:color w:val="auto"/>
        </w:rPr>
        <w:t>, (FSP EITF 00-19-2), the Company recorded approximately $1.3 million in liquidated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for the period from July 8, 2008 through November 10, 2008, which expense has been recorded as Other Expense. On November 11, 2008,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and the investors in this transaction agreed that the obligation would be settled in shares of the Company’s common stock in lieu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The number of shares payable to each investor in this financing was calculated by dividing the amount of liquidated damages owed to each investor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$1.45, which was equal to the closing market price of the Company’s common stock on the NASDAQ Capital Market on November 11, 2008. On November 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the Company issued 883,155 shares of its common stock in settlement of this obligation.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25, 2008, the Company entered into a Committed Equity Financing Facility (CEFF) with Kingsbridge Capital Limited (Kingsbridge), a private investment group. Under the terms of the agreement, Kingsbridge has committed to provide up to $60 million of capital in exchange for newly-issued shares of Corcept’s common stock for a period of up to three years after the SEC declares effective the registration statement filed by Corcept covering the resale of the shares of common stock issuable in connection with the CEFF and the shares of common stock underlying the warrant discussed below. The maximum number of 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that can be sold by Corcept under this agreement is approximately 9.6 million shares. Based on the volume weighted average price on the NASDAQ Capital Market for the Company’s common stock for the period from March 25, 2008, the date of the signing of the Kingsbridge CEFF, through March 15, 2009, the maximum amount of net proceeds available under the CEFF is projected to be approximately $20 million. Under the terms of the agreement, the determination of the exact timing and amount of any CEFF financings will be made solely by Corcept, subject to certain conditions. The actual amount of funds that can be raised under this agreement will be dependent on the number of shares actually sold under the agreement and the market value of Corcept’s stock during the pricing periods of each sale.</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quarter ended September 30, 2008, the Company sold a total of 404,587 shares of common stock to Kingsbridge under the CEFF at an average price of $1.85 per share, for total proceeds of $750,000.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details of the CEFF are as follows:</w:t>
      </w:r>
    </w:p>
    <w:p>
      <w:pPr>
        <w:spacing w:after="0" w:line="90" w:lineRule="exact"/>
        <w:rPr>
          <w:sz w:val="20"/>
          <w:szCs w:val="20"/>
          <w:color w:val="auto"/>
        </w:rPr>
      </w:pPr>
    </w:p>
    <w:p>
      <w:pPr>
        <w:ind w:left="660" w:right="160" w:hanging="206"/>
        <w:spacing w:after="0" w:line="25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Corcept can access capital under the CEFF in tranches of up to 1.25% of Corcept’s market capitalization at the time of the initiation of the draw down period, or, at Corcept’s option, the lesser of (a) 2.5% of Corcept’s market capitalization at the time of the initiation of the draw down period, and (b) an alternative draw down amount as defined in the agreement; provided, however, that in no event may the maximum draw down amount exceed $10 million per tranche, subject to certain conditions.</w:t>
      </w:r>
    </w:p>
    <w:p>
      <w:pPr>
        <w:spacing w:after="0" w:line="62" w:lineRule="exact"/>
        <w:rPr>
          <w:rFonts w:ascii="Arial" w:cs="Arial" w:eastAsia="Arial" w:hAnsi="Arial"/>
          <w:sz w:val="18"/>
          <w:szCs w:val="18"/>
          <w:color w:val="auto"/>
        </w:rPr>
      </w:pPr>
    </w:p>
    <w:p>
      <w:pPr>
        <w:ind w:left="660" w:right="20" w:hanging="206"/>
        <w:spacing w:after="0" w:line="298"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tranche will be issued and priced over an eight-day pricing period. Kingsbridge will purchase shares of common stock pursuant to the CEFF at discounts ranging from 6% to 10%, depending on the volume weighted average price of the common stock during the eight-day pricing period, provided that the minimum acceptable purchase price for any shares to be issued to Kingsbridge during the eight-day period is determined by the higher of $1.50 or 90% of Corcept’s common stock closing price the day before the commencement of each draw down.</w:t>
      </w:r>
    </w:p>
    <w:p>
      <w:pPr>
        <w:spacing w:after="0" w:line="31"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Throughout the term of the agreement, Kingsbridge has agreed it will not, and will not cause any other person to, enter into or execute a short sale of any of Corcept’s securities.</w:t>
      </w:r>
    </w:p>
    <w:p>
      <w:pPr>
        <w:spacing w:after="0" w:line="50"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Corcept is not obligated to utilize any of the $60 million available under the CEFF and there are no minimum commitments or minimum use penalties. The CEFF agreement does not contain any restrictions on Corcept’s operating activities, automatic pricing resets or minimum market volume restrictions.</w:t>
      </w:r>
    </w:p>
    <w:p>
      <w:pPr>
        <w:spacing w:after="0" w:line="59"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agreement does not prohibit Corcept from conducting additional debt or equity financings, other than financings similar to the CEFF and other future priced securities.</w:t>
      </w:r>
    </w:p>
    <w:p>
      <w:pPr>
        <w:spacing w:after="0" w:line="50" w:lineRule="exact"/>
        <w:rPr>
          <w:rFonts w:ascii="Arial" w:cs="Arial" w:eastAsia="Arial" w:hAnsi="Arial"/>
          <w:sz w:val="18"/>
          <w:szCs w:val="18"/>
          <w:color w:val="auto"/>
        </w:rPr>
      </w:pPr>
    </w:p>
    <w:p>
      <w:pPr>
        <w:ind w:left="660" w:hanging="206"/>
        <w:spacing w:after="0" w:line="290"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connection with the CEFF, Corcept issued a warrant to Kingsbridge to purchase up to 330,000 shares of common stock at an exercise price of $3.525 per share, which represents 125% of the average of the closing bid prices of Corcept’s common stock during the 5 trading days preceding the signing of the agreement. The warrant became exercisable on September 25, 2008 and will remain exercisable, subject to certain exceptions, until five years after that date. The warrant was valued at approximately $655,000 using the Black-Scholes pricing model using the following assumptions: a contractual term of five and one-half years, risk-free interest rate of 2.71%, volatility of 89%, and the closing price of our stock price on the Nasdaq Capital Market on the date of signing the commitment, March 25, 2008, of $2.84 per share. The warrant value was recorded in Additional Paid In Capital with an offsetting amount recorded as issuance cost in Additional Paid In Capital.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time of the signing of the CEFF agreements, the warrant issued to Kingsbridge and the shares of common stock issuable under the CEFF, and the shares issuable upon the exercise of the warrant, were not registered under the Securities Act, or state securities laws, and may not be offered or sold in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without being registered with the SEC or through an applicable exemption from SEC registration requirements. On June 10, 2008, the SEC declared effective the Company’s initial registration statement covering the resale of approximately 3.9 million shares, which includes approximately 3.6 million of the shares issuable under the CEFF and the shares issuable upon the exercise of the warrant. This registration statement covers approximately 37% of the 9.6 million shares of our common stock issuable pursuant to the CEFF and all of the 330,000 shares of our common stock issuable upon exercise of the warrant issued to Kingsbridge.</w:t>
      </w:r>
    </w:p>
    <w:p>
      <w:pPr>
        <w:spacing w:after="0" w:line="9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 intends to file additional registration statements covering the resale of additional shares of our common stock issuable pursuant to the CEFF beginning at the later of 60 days after Kingsbridge and its affiliates have resold substantially all of the securities registered for sale under the initial registration statement or six months after the effective date of this registration statement. These subsequent registration statements are subject to the Company’s ability to prepare and file them and to review and comment by the Staff of the SEC, as well as consent by our independent registered accounting firm. Therefore, the timing of effectiveness of these subsequent registration statements becoming effective cannot be assured. The effectiveness of these subsequent registration statements is a condition precedent to our ability to sell the shares of common stock subject to these subsequent registration statements to Kingsbridge under the CEFF.</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dividends have been declared or paid by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common stock reserved for future issuance as of December 31, 2008 are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w w:val="85"/>
              </w:rPr>
              <w:t>(in thousands)</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18"/>
                <w:szCs w:val="18"/>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Exercise of outstanding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5,132</w:t>
            </w: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r>
      <w:tr>
        <w:trPr>
          <w:trHeight w:val="223"/>
        </w:trPr>
        <w:tc>
          <w:tcPr>
            <w:tcW w:w="8800" w:type="dxa"/>
            <w:vAlign w:val="bottom"/>
          </w:tcPr>
          <w:p>
            <w:pPr>
              <w:ind w:left="440"/>
              <w:spacing w:after="0"/>
              <w:rPr>
                <w:sz w:val="20"/>
                <w:szCs w:val="20"/>
                <w:color w:val="auto"/>
              </w:rPr>
            </w:pPr>
            <w:r>
              <w:rPr>
                <w:rFonts w:ascii="Arial" w:cs="Arial" w:eastAsia="Arial" w:hAnsi="Arial"/>
                <w:sz w:val="18"/>
                <w:szCs w:val="18"/>
                <w:color w:val="auto"/>
              </w:rPr>
              <w:t>Shares available for grant under stock option plans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88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r>
      <w:tr>
        <w:trPr>
          <w:trHeight w:val="20"/>
        </w:trPr>
        <w:tc>
          <w:tcPr>
            <w:tcW w:w="8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 December 2008, the Board of Directors authorized an increase of 995,264 shares in the shares available under the 2004 Plan to be effective on January 1, 2009, which amount is based on 2% of the shares of the Company’s common stock outstanding as of December 31, 2008, pursuant to the terms of the 2004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October 2000, the Company adopted the 2000 Stock Option Plan (the “2000 Plan”), which provides for the issuance of option grants for up to 1,000,000 shares of the Company’s common stock to eligible participants. Under the 2000 Plan, options to purchase common stock may be granted at no less than 100% of fair value on the date of grant for incentive stock options and 85% of fair value on the date of grant for nonqualified options, as determined by the board of directors. Options become exercisable at such times and under such conditions as determined by the board of directors. The 2000 Plan provides for grants of immediately exercisable options; however, the Company has the right to repurchase any common stock upon termination of employment or services at the original exercise price where the right of repurchase has not lapsed. Shares repurchased by the Company prior to March 2004 returned to the option pool. Options generally vest over a four- or five-year period and have a maximum term of ten years. Incentive stock options generally vest at a rate of 20% at the end of the first year of vesting, with the remaining balance vesting ratably on a monthly basis over the remaining four years. In May 2001, the Company increased the number of shares of common stock authorized for issuance under the 2000 Plan by 1,000,000 shares, to a total of 2,000,000 shares.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jc w:val="both"/>
        <w:ind w:right="40" w:firstLine="456"/>
        <w:spacing w:after="0" w:line="314" w:lineRule="auto"/>
        <w:rPr>
          <w:sz w:val="20"/>
          <w:szCs w:val="20"/>
          <w:color w:val="auto"/>
        </w:rPr>
      </w:pPr>
      <w:r>
        <w:rPr>
          <w:rFonts w:ascii="Arial" w:cs="Arial" w:eastAsia="Arial" w:hAnsi="Arial"/>
          <w:sz w:val="15"/>
          <w:szCs w:val="15"/>
          <w:color w:val="auto"/>
        </w:rPr>
        <w:t>In March 2004, the Company’s board of directors and stockholders approved the 2004 Equity Incentive Plan (the “2004 Plan”), which became effective upon the completion of the IPO. The Company has reserved a total of 3,000,000 shares of its common stock for issuance under the 2004 Equity Incentive Plan. No additional options will be issued under the 2000 Plan. Under the 2004 Plan, options, stock purchase and stock appreciation rights and restricted stock awards can be issued to employees, officers, directors and consultants of the Company. The 2004 Plan provides that the exercise price for incentive stock options will be no less than 100% of the fair value of the Company’s common stock, as of the date of grant. Options granted under the 2004 Plan vest over periods ranging from one to five years. The vesting period of the options is generally equivalent to the requisite service period. Upon exercise, new shares are issued.</w:t>
      </w:r>
    </w:p>
    <w:p>
      <w:pPr>
        <w:spacing w:after="0" w:line="105"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 2004 Plan provides that the share reserve will be cumulatively increased on January 1 of each year, beginning January 1, 2005 and for nine years thereafter, by a number of shares that is equal to the least of (a) 2% of the number of the Company’s shares issued and outstanding at the preceding December 31,</w:t>
      </w:r>
    </w:p>
    <w:p>
      <w:pPr>
        <w:ind w:right="100" w:firstLine="8"/>
        <w:spacing w:after="0" w:line="302" w:lineRule="auto"/>
        <w:tabs>
          <w:tab w:leader="none" w:pos="2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1,000,000 shares and (c) a number of shares set by the Board of Directors. Through December 2007, the board approved increases in the shares available for grant under the 2004 Plan totaling 2,213,554 shares. In addition, in December 2008, the board authorized an additional increase of 995,264 shares in the shares available under the 2004 Plan to be effective on January 1, 2009, based on 2% of the shares outstanding as of December 31, 2008.</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activity during 2006, 2007 and 2008</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all stock plan activity:</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rPr>
              <w:t>Stock Options</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w w:val="87"/>
              </w:rPr>
              <w:t>Weighted-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Shares</w:t>
            </w:r>
          </w:p>
        </w:tc>
        <w:tc>
          <w:tcPr>
            <w:tcW w:w="560" w:type="dxa"/>
            <w:vAlign w:val="bottom"/>
          </w:tcPr>
          <w:p>
            <w:pPr>
              <w:spacing w:after="0"/>
              <w:rPr>
                <w:sz w:val="18"/>
                <w:szCs w:val="18"/>
                <w:color w:val="auto"/>
              </w:rPr>
            </w:pPr>
          </w:p>
        </w:tc>
        <w:tc>
          <w:tcPr>
            <w:tcW w:w="1600" w:type="dxa"/>
            <w:vAlign w:val="bottom"/>
            <w:gridSpan w:val="2"/>
          </w:tcPr>
          <w:p>
            <w:pPr>
              <w:jc w:val="right"/>
              <w:ind w:right="752"/>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18"/>
                <w:szCs w:val="18"/>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5"/>
              </w:rPr>
              <w:t>Available</w:t>
            </w:r>
          </w:p>
        </w:tc>
        <w:tc>
          <w:tcPr>
            <w:tcW w:w="560" w:type="dxa"/>
            <w:vAlign w:val="bottom"/>
          </w:tcPr>
          <w:p>
            <w:pPr>
              <w:spacing w:after="0"/>
              <w:rPr>
                <w:sz w:val="19"/>
                <w:szCs w:val="19"/>
                <w:color w:val="auto"/>
              </w:rPr>
            </w:pPr>
          </w:p>
        </w:tc>
        <w:tc>
          <w:tcPr>
            <w:tcW w:w="160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w w:val="88"/>
              </w:rPr>
              <w:t>Outstanding</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Price</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i w:val="1"/>
                <w:iCs w:val="1"/>
                <w:color w:val="auto"/>
                <w:w w:val="76"/>
              </w:rPr>
              <w:t>share data)</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spacing w:after="0" w:line="144" w:lineRule="exact"/>
              <w:rPr>
                <w:sz w:val="20"/>
                <w:szCs w:val="20"/>
                <w:color w:val="auto"/>
              </w:rPr>
            </w:pPr>
            <w:r>
              <w:rPr>
                <w:rFonts w:ascii="Arial" w:cs="Arial" w:eastAsia="Arial" w:hAnsi="Arial"/>
                <w:sz w:val="14"/>
                <w:szCs w:val="14"/>
                <w:i w:val="1"/>
                <w:iCs w:val="1"/>
                <w:color w:val="auto"/>
                <w:w w:val="90"/>
              </w:rPr>
              <w:t>(in thousands, except per</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3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5"/>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Increase in shares authorized under 2004 Plan</w:t>
            </w:r>
          </w:p>
        </w:tc>
        <w:tc>
          <w:tcPr>
            <w:tcW w:w="3080" w:type="dxa"/>
            <w:vAlign w:val="bottom"/>
            <w:gridSpan w:val="3"/>
          </w:tcPr>
          <w:p>
            <w:pPr>
              <w:jc w:val="right"/>
              <w:ind w:right="140"/>
              <w:spacing w:after="0"/>
              <w:rPr>
                <w:sz w:val="20"/>
                <w:szCs w:val="20"/>
                <w:color w:val="auto"/>
              </w:rPr>
            </w:pPr>
            <w:r>
              <w:rPr>
                <w:rFonts w:ascii="Arial" w:cs="Arial" w:eastAsia="Arial" w:hAnsi="Arial"/>
                <w:sz w:val="18"/>
                <w:szCs w:val="18"/>
                <w:color w:val="auto"/>
              </w:rPr>
              <w:t>454</w:t>
            </w:r>
          </w:p>
        </w:tc>
        <w:tc>
          <w:tcPr>
            <w:tcW w:w="560" w:type="dxa"/>
            <w:vAlign w:val="bottom"/>
          </w:tcPr>
          <w:p>
            <w:pPr>
              <w:spacing w:after="0"/>
              <w:rPr>
                <w:sz w:val="18"/>
                <w:szCs w:val="18"/>
                <w:color w:val="auto"/>
              </w:rPr>
            </w:pPr>
          </w:p>
        </w:tc>
        <w:tc>
          <w:tcPr>
            <w:tcW w:w="16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left="27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granted</w:t>
            </w:r>
          </w:p>
        </w:tc>
        <w:tc>
          <w:tcPr>
            <w:tcW w:w="3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5"/>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Shares exercised</w:t>
            </w:r>
          </w:p>
        </w:tc>
        <w:tc>
          <w:tcPr>
            <w:tcW w:w="2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512"/>
              <w:spacing w:after="0"/>
              <w:rPr>
                <w:sz w:val="20"/>
                <w:szCs w:val="20"/>
                <w:color w:val="auto"/>
              </w:rPr>
            </w:pPr>
            <w:r>
              <w:rPr>
                <w:rFonts w:ascii="Arial" w:cs="Arial" w:eastAsia="Arial" w:hAnsi="Arial"/>
                <w:sz w:val="18"/>
                <w:szCs w:val="18"/>
                <w:color w:val="auto"/>
              </w:rPr>
              <w:t>(26)</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312"/>
              <w:spacing w:after="0"/>
              <w:rPr>
                <w:sz w:val="20"/>
                <w:szCs w:val="20"/>
                <w:color w:val="auto"/>
              </w:rPr>
            </w:pPr>
            <w:r>
              <w:rPr>
                <w:rFonts w:ascii="Arial" w:cs="Arial" w:eastAsia="Arial" w:hAnsi="Arial"/>
                <w:sz w:val="18"/>
                <w:szCs w:val="18"/>
                <w:color w:val="auto"/>
                <w:w w:val="85"/>
              </w:rPr>
              <w:t>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for services</w:t>
            </w:r>
          </w:p>
        </w:tc>
        <w:tc>
          <w:tcPr>
            <w:tcW w:w="3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5"/>
              </w:rPr>
              <w:t>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Shares cancelled and forfeited under 2004 Plan</w:t>
            </w:r>
          </w:p>
        </w:tc>
        <w:tc>
          <w:tcPr>
            <w:tcW w:w="3080" w:type="dxa"/>
            <w:vAlign w:val="bottom"/>
            <w:gridSpan w:val="3"/>
          </w:tcPr>
          <w:p>
            <w:pPr>
              <w:jc w:val="right"/>
              <w:ind w:right="140"/>
              <w:spacing w:after="0"/>
              <w:rPr>
                <w:sz w:val="20"/>
                <w:szCs w:val="20"/>
                <w:color w:val="auto"/>
              </w:rPr>
            </w:pPr>
            <w:r>
              <w:rPr>
                <w:rFonts w:ascii="Arial" w:cs="Arial" w:eastAsia="Arial" w:hAnsi="Arial"/>
                <w:sz w:val="18"/>
                <w:szCs w:val="18"/>
                <w:color w:val="auto"/>
              </w:rPr>
              <w:t>95</w:t>
            </w:r>
          </w:p>
        </w:tc>
        <w:tc>
          <w:tcPr>
            <w:tcW w:w="2160" w:type="dxa"/>
            <w:vAlign w:val="bottom"/>
            <w:gridSpan w:val="3"/>
          </w:tcPr>
          <w:p>
            <w:pPr>
              <w:jc w:val="right"/>
              <w:ind w:right="512"/>
              <w:spacing w:after="0"/>
              <w:rPr>
                <w:sz w:val="20"/>
                <w:szCs w:val="20"/>
                <w:color w:val="auto"/>
              </w:rPr>
            </w:pPr>
            <w:r>
              <w:rPr>
                <w:rFonts w:ascii="Arial" w:cs="Arial" w:eastAsia="Arial" w:hAnsi="Arial"/>
                <w:sz w:val="18"/>
                <w:szCs w:val="18"/>
                <w:color w:val="auto"/>
              </w:rPr>
              <w:t>(95)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312"/>
              <w:spacing w:after="0"/>
              <w:rPr>
                <w:sz w:val="20"/>
                <w:szCs w:val="20"/>
                <w:color w:val="auto"/>
              </w:rPr>
            </w:pPr>
            <w:r>
              <w:rPr>
                <w:rFonts w:ascii="Arial" w:cs="Arial" w:eastAsia="Arial" w:hAnsi="Arial"/>
                <w:sz w:val="18"/>
                <w:szCs w:val="18"/>
                <w:color w:val="auto"/>
                <w:w w:val="85"/>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cancelled and forfeited under 2000 Plan</w:t>
            </w:r>
          </w:p>
        </w:tc>
        <w:tc>
          <w:tcPr>
            <w:tcW w:w="2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5"/>
              </w:rPr>
              <w:t>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at December 31, 2006</w:t>
            </w:r>
          </w:p>
        </w:tc>
        <w:tc>
          <w:tcPr>
            <w:tcW w:w="2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tcPr>
          <w:p>
            <w:pPr>
              <w:jc w:val="center"/>
              <w:ind w:left="292"/>
              <w:spacing w:after="0"/>
              <w:rPr>
                <w:sz w:val="20"/>
                <w:szCs w:val="20"/>
                <w:color w:val="auto"/>
              </w:rPr>
            </w:pPr>
            <w:r>
              <w:rPr>
                <w:rFonts w:ascii="Arial" w:cs="Arial" w:eastAsia="Arial" w:hAnsi="Arial"/>
                <w:sz w:val="18"/>
                <w:szCs w:val="18"/>
                <w:color w:val="auto"/>
                <w:w w:val="85"/>
              </w:rPr>
              <w:t>5.80</w:t>
            </w: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2,680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1,810</w:t>
            </w:r>
          </w:p>
        </w:tc>
        <w:tc>
          <w:tcPr>
            <w:tcW w:w="6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shares authorized under 2004 Plan</w:t>
            </w: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Shares granted</w:t>
            </w:r>
          </w:p>
        </w:tc>
        <w:tc>
          <w:tcPr>
            <w:tcW w:w="3080" w:type="dxa"/>
            <w:vAlign w:val="bottom"/>
            <w:gridSpan w:val="3"/>
          </w:tcPr>
          <w:p>
            <w:pPr>
              <w:jc w:val="right"/>
              <w:ind w:right="80"/>
              <w:spacing w:after="0"/>
              <w:rPr>
                <w:sz w:val="20"/>
                <w:szCs w:val="20"/>
                <w:color w:val="auto"/>
              </w:rPr>
            </w:pPr>
            <w:r>
              <w:rPr>
                <w:rFonts w:ascii="Arial" w:cs="Arial" w:eastAsia="Arial" w:hAnsi="Arial"/>
                <w:sz w:val="18"/>
                <w:szCs w:val="18"/>
                <w:color w:val="auto"/>
              </w:rPr>
              <w:t>(2,502)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6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312"/>
              <w:spacing w:after="0"/>
              <w:rPr>
                <w:sz w:val="20"/>
                <w:szCs w:val="20"/>
                <w:color w:val="auto"/>
              </w:rPr>
            </w:pPr>
            <w:r>
              <w:rPr>
                <w:rFonts w:ascii="Arial" w:cs="Arial" w:eastAsia="Arial" w:hAnsi="Arial"/>
                <w:sz w:val="18"/>
                <w:szCs w:val="18"/>
                <w:color w:val="auto"/>
                <w:w w:val="85"/>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exercised</w:t>
            </w: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(26)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5"/>
              </w:rPr>
              <w:t>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Shares cancelled and forfeited under 2004 Plan</w:t>
            </w:r>
          </w:p>
        </w:tc>
        <w:tc>
          <w:tcPr>
            <w:tcW w:w="3080" w:type="dxa"/>
            <w:vAlign w:val="bottom"/>
            <w:gridSpan w:val="3"/>
          </w:tcPr>
          <w:p>
            <w:pPr>
              <w:jc w:val="right"/>
              <w:ind w:right="140"/>
              <w:spacing w:after="0"/>
              <w:rPr>
                <w:sz w:val="20"/>
                <w:szCs w:val="20"/>
                <w:color w:val="auto"/>
              </w:rPr>
            </w:pPr>
            <w:r>
              <w:rPr>
                <w:rFonts w:ascii="Arial" w:cs="Arial" w:eastAsia="Arial" w:hAnsi="Arial"/>
                <w:sz w:val="18"/>
                <w:szCs w:val="18"/>
                <w:color w:val="auto"/>
              </w:rPr>
              <w:t>195</w:t>
            </w:r>
          </w:p>
        </w:tc>
        <w:tc>
          <w:tcPr>
            <w:tcW w:w="2160" w:type="dxa"/>
            <w:vAlign w:val="bottom"/>
            <w:gridSpan w:val="3"/>
          </w:tcPr>
          <w:p>
            <w:pPr>
              <w:jc w:val="right"/>
              <w:ind w:right="512"/>
              <w:spacing w:after="0"/>
              <w:rPr>
                <w:sz w:val="20"/>
                <w:szCs w:val="20"/>
                <w:color w:val="auto"/>
              </w:rPr>
            </w:pPr>
            <w:r>
              <w:rPr>
                <w:rFonts w:ascii="Arial" w:cs="Arial" w:eastAsia="Arial" w:hAnsi="Arial"/>
                <w:sz w:val="18"/>
                <w:szCs w:val="18"/>
                <w:color w:val="auto"/>
              </w:rPr>
              <w:t>(195)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312"/>
              <w:spacing w:after="0"/>
              <w:rPr>
                <w:sz w:val="20"/>
                <w:szCs w:val="20"/>
                <w:color w:val="auto"/>
              </w:rPr>
            </w:pPr>
            <w:r>
              <w:rPr>
                <w:rFonts w:ascii="Arial" w:cs="Arial" w:eastAsia="Arial" w:hAnsi="Arial"/>
                <w:sz w:val="18"/>
                <w:szCs w:val="18"/>
                <w:color w:val="auto"/>
                <w:w w:val="85"/>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cancelled and forfeited under 2000 Plan</w:t>
            </w:r>
          </w:p>
        </w:tc>
        <w:tc>
          <w:tcPr>
            <w:tcW w:w="2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(200)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5"/>
              </w:rPr>
              <w:t>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at December 31, 2007</w:t>
            </w:r>
          </w:p>
        </w:tc>
        <w:tc>
          <w:tcPr>
            <w:tcW w:w="2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tcPr>
          <w:p>
            <w:pPr>
              <w:jc w:val="center"/>
              <w:ind w:left="292"/>
              <w:spacing w:after="0"/>
              <w:rPr>
                <w:sz w:val="20"/>
                <w:szCs w:val="20"/>
                <w:color w:val="auto"/>
              </w:rPr>
            </w:pPr>
            <w:r>
              <w:rPr>
                <w:rFonts w:ascii="Arial" w:cs="Arial" w:eastAsia="Arial" w:hAnsi="Arial"/>
                <w:sz w:val="18"/>
                <w:szCs w:val="18"/>
                <w:color w:val="auto"/>
                <w:w w:val="85"/>
              </w:rPr>
              <w:t>3.10</w:t>
            </w: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6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shares authorized under 2004 Plan</w:t>
            </w: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w:t>
            </w: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Shares granted</w:t>
            </w:r>
          </w:p>
        </w:tc>
        <w:tc>
          <w:tcPr>
            <w:tcW w:w="3080" w:type="dxa"/>
            <w:vAlign w:val="bottom"/>
            <w:gridSpan w:val="3"/>
          </w:tcPr>
          <w:p>
            <w:pPr>
              <w:jc w:val="right"/>
              <w:ind w:right="80"/>
              <w:spacing w:after="0"/>
              <w:rPr>
                <w:sz w:val="20"/>
                <w:szCs w:val="20"/>
                <w:color w:val="auto"/>
              </w:rPr>
            </w:pPr>
            <w:r>
              <w:rPr>
                <w:rFonts w:ascii="Arial" w:cs="Arial" w:eastAsia="Arial" w:hAnsi="Arial"/>
                <w:sz w:val="18"/>
                <w:szCs w:val="18"/>
                <w:color w:val="auto"/>
              </w:rPr>
              <w:t>(1,273)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1,273</w:t>
            </w:r>
          </w:p>
        </w:tc>
        <w:tc>
          <w:tcPr>
            <w:tcW w:w="6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312"/>
              <w:spacing w:after="0"/>
              <w:rPr>
                <w:sz w:val="20"/>
                <w:szCs w:val="20"/>
                <w:color w:val="auto"/>
              </w:rPr>
            </w:pPr>
            <w:r>
              <w:rPr>
                <w:rFonts w:ascii="Arial" w:cs="Arial" w:eastAsia="Arial" w:hAnsi="Arial"/>
                <w:sz w:val="18"/>
                <w:szCs w:val="18"/>
                <w:color w:val="auto"/>
                <w:w w:val="85"/>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exercised</w:t>
            </w: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5"/>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Shares issued for services</w:t>
            </w:r>
          </w:p>
        </w:tc>
        <w:tc>
          <w:tcPr>
            <w:tcW w:w="308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6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312"/>
              <w:spacing w:after="0"/>
              <w:rPr>
                <w:sz w:val="20"/>
                <w:szCs w:val="20"/>
                <w:color w:val="auto"/>
              </w:rPr>
            </w:pPr>
            <w:r>
              <w:rPr>
                <w:rFonts w:ascii="Arial" w:cs="Arial" w:eastAsia="Arial" w:hAnsi="Arial"/>
                <w:sz w:val="18"/>
                <w:szCs w:val="18"/>
                <w:color w:val="auto"/>
                <w:w w:val="85"/>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cancelled and forfeited under 2004 Plan</w:t>
            </w: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1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(30)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5"/>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at December 31, 2008</w:t>
            </w:r>
          </w:p>
        </w:tc>
        <w:tc>
          <w:tcPr>
            <w:tcW w:w="2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tcPr>
          <w:p>
            <w:pPr>
              <w:jc w:val="center"/>
              <w:ind w:left="292"/>
              <w:spacing w:after="0"/>
              <w:rPr>
                <w:sz w:val="20"/>
                <w:szCs w:val="20"/>
                <w:color w:val="auto"/>
              </w:rPr>
            </w:pPr>
            <w:r>
              <w:rPr>
                <w:rFonts w:ascii="Arial" w:cs="Arial" w:eastAsia="Arial" w:hAnsi="Arial"/>
                <w:sz w:val="18"/>
                <w:szCs w:val="18"/>
                <w:color w:val="auto"/>
                <w:w w:val="85"/>
              </w:rPr>
              <w:t>2.70</w:t>
            </w: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5,132</w:t>
            </w:r>
          </w:p>
        </w:tc>
        <w:tc>
          <w:tcPr>
            <w:tcW w:w="6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20" w:type="dxa"/>
            <w:vAlign w:val="bottom"/>
          </w:tcPr>
          <w:p>
            <w:pPr>
              <w:spacing w:after="0"/>
              <w:rPr>
                <w:sz w:val="24"/>
                <w:szCs w:val="24"/>
                <w:color w:val="auto"/>
              </w:rPr>
            </w:pPr>
          </w:p>
        </w:tc>
        <w:tc>
          <w:tcPr>
            <w:tcW w:w="3080" w:type="dxa"/>
            <w:vAlign w:val="bottom"/>
            <w:gridSpan w:val="3"/>
          </w:tcPr>
          <w:p>
            <w:pPr>
              <w:jc w:val="right"/>
              <w:ind w:right="2080"/>
              <w:spacing w:after="0"/>
              <w:rPr>
                <w:sz w:val="20"/>
                <w:szCs w:val="20"/>
                <w:color w:val="auto"/>
              </w:rPr>
            </w:pPr>
            <w:r>
              <w:rPr>
                <w:rFonts w:ascii="Arial" w:cs="Arial" w:eastAsia="Arial" w:hAnsi="Arial"/>
                <w:sz w:val="18"/>
                <w:szCs w:val="18"/>
                <w:color w:val="auto"/>
              </w:rPr>
              <w:t>F-28</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The total intrinsic value of options exercised during the years ended December 31, 2007 and 2006 were approximately $359,000, and $360,000, respectively. There was no intrinsic value related to the option exercised during the year ended December 31, 2008.</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presents the total fair value of options to employees that vested during the years ended December 31, 2008, 2007 and 2006. All amounts are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3"/>
              </w:rPr>
              <w:t>Year ended December 31,</w:t>
            </w:r>
          </w:p>
        </w:tc>
      </w:tr>
      <w:tr>
        <w:trPr>
          <w:trHeight w:val="211"/>
        </w:trPr>
        <w:tc>
          <w:tcPr>
            <w:tcW w:w="808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2007</w:t>
            </w:r>
          </w:p>
        </w:tc>
        <w:tc>
          <w:tcPr>
            <w:tcW w:w="4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8"/>
                <w:szCs w:val="18"/>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Pre-IPO options, using minimum value method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$ 1,270</w:t>
            </w:r>
          </w:p>
        </w:tc>
        <w:tc>
          <w:tcPr>
            <w:tcW w:w="20" w:type="dxa"/>
            <w:vAlign w:val="bottom"/>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Options granted after IPO through 2005, using fair value under SFAS 123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after January 1, 2006, using fair values under SFAS 123R</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4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22"/>
        </w:trPr>
        <w:tc>
          <w:tcPr>
            <w:tcW w:w="80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2,002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1,881</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$ 2,220</w:t>
            </w: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the Company had the following amounts of unrecognized compensation expense for employee options outstanding as of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average</w:t>
            </w:r>
          </w:p>
        </w:tc>
      </w:tr>
      <w:tr>
        <w:trPr>
          <w:trHeight w:val="229"/>
        </w:trPr>
        <w:tc>
          <w:tcPr>
            <w:tcW w:w="6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period</w:t>
            </w:r>
          </w:p>
        </w:tc>
      </w:tr>
      <w:tr>
        <w:trPr>
          <w:trHeight w:val="143"/>
        </w:trPr>
        <w:tc>
          <w:tcPr>
            <w:tcW w:w="6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i w:val="1"/>
                <w:iCs w:val="1"/>
                <w:color w:val="auto"/>
                <w:w w:val="85"/>
              </w:rPr>
              <w:t>(in thousands)</w:t>
            </w:r>
          </w:p>
        </w:tc>
        <w:tc>
          <w:tcPr>
            <w:tcW w:w="8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i w:val="1"/>
                <w:iCs w:val="1"/>
                <w:color w:val="auto"/>
                <w:w w:val="89"/>
              </w:rPr>
              <w:t>(in years)</w:t>
            </w:r>
          </w:p>
        </w:tc>
        <w:tc>
          <w:tcPr>
            <w:tcW w:w="2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after IPO through 2005, using fair value under SFAS 123</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Options granted after January 1, 2006, using fair value under SFAS 123R</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3,480</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is a summary of options outstanding and options exercisable at December 31, 2008. All options outstanding at December 31, 2008 are either exercisable or expected to become exercisable.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Options Outstanding</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8"/>
              </w:rPr>
              <w:t>Options Exercisable</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8"/>
              </w:rPr>
              <w:t>Weighted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8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Weighted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Weighted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480" w:type="dxa"/>
            <w:vAlign w:val="bottom"/>
          </w:tcPr>
          <w:p>
            <w:pPr>
              <w:spacing w:after="0"/>
              <w:rPr>
                <w:sz w:val="18"/>
                <w:szCs w:val="18"/>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4"/>
              </w:rPr>
              <w:t>Average</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85"/>
              </w:rPr>
              <w:t>Aggregate</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7"/>
              </w:rPr>
              <w:t>Contractual</w:t>
            </w:r>
          </w:p>
        </w:tc>
        <w:tc>
          <w:tcPr>
            <w:tcW w:w="480" w:type="dxa"/>
            <w:vAlign w:val="bottom"/>
          </w:tcPr>
          <w:p>
            <w:pPr>
              <w:spacing w:after="0"/>
              <w:rPr>
                <w:sz w:val="18"/>
                <w:szCs w:val="18"/>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6"/>
              </w:rPr>
              <w:t>Exercise</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Intrinsic</w:t>
            </w:r>
          </w:p>
        </w:tc>
        <w:tc>
          <w:tcPr>
            <w:tcW w:w="50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Options</w:t>
            </w:r>
          </w:p>
        </w:tc>
        <w:tc>
          <w:tcPr>
            <w:tcW w:w="460" w:type="dxa"/>
            <w:vAlign w:val="bottom"/>
          </w:tcPr>
          <w:p>
            <w:pPr>
              <w:spacing w:after="0"/>
              <w:rPr>
                <w:sz w:val="18"/>
                <w:szCs w:val="18"/>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3"/>
              </w:rPr>
              <w:t>Exercise</w:t>
            </w:r>
          </w:p>
        </w:tc>
        <w:tc>
          <w:tcPr>
            <w:tcW w:w="80" w:type="dxa"/>
            <w:vAlign w:val="bottom"/>
          </w:tcPr>
          <w:p>
            <w:pPr>
              <w:spacing w:after="0"/>
              <w:rPr>
                <w:sz w:val="18"/>
                <w:szCs w:val="18"/>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5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19"/>
                <w:szCs w:val="19"/>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500" w:type="dxa"/>
            <w:vAlign w:val="bottom"/>
          </w:tcPr>
          <w:p>
            <w:pPr>
              <w:spacing w:after="0"/>
              <w:rPr>
                <w:sz w:val="19"/>
                <w:szCs w:val="19"/>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Exercisable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Price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i w:val="1"/>
                <w:iCs w:val="1"/>
                <w:color w:val="auto"/>
                <w:w w:val="87"/>
              </w:rPr>
              <w:t>(in thousands)</w:t>
            </w:r>
          </w:p>
        </w:tc>
        <w:tc>
          <w:tcPr>
            <w:tcW w:w="5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i w:val="1"/>
                <w:iCs w:val="1"/>
                <w:color w:val="auto"/>
                <w:w w:val="89"/>
              </w:rPr>
              <w:t>(in years)</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i w:val="1"/>
                <w:iCs w:val="1"/>
                <w:color w:val="auto"/>
                <w:w w:val="85"/>
              </w:rPr>
              <w:t>(in thousands)</w:t>
            </w:r>
          </w:p>
        </w:tc>
        <w:tc>
          <w:tcPr>
            <w:tcW w:w="5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i w:val="1"/>
                <w:iCs w:val="1"/>
                <w:color w:val="auto"/>
                <w:w w:val="87"/>
              </w:rPr>
              <w:t>(in thousands)</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i w:val="1"/>
                <w:iCs w:val="1"/>
                <w:color w:val="auto"/>
                <w:w w:val="85"/>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$ 0.10 - $ 0.75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159</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$ 1.02 - $ 2.98</w:t>
            </w:r>
          </w:p>
        </w:tc>
        <w:tc>
          <w:tcPr>
            <w:tcW w:w="780" w:type="dxa"/>
            <w:vAlign w:val="bottom"/>
          </w:tcPr>
          <w:p>
            <w:pPr>
              <w:jc w:val="right"/>
              <w:spacing w:after="0"/>
              <w:rPr>
                <w:sz w:val="20"/>
                <w:szCs w:val="20"/>
                <w:color w:val="auto"/>
              </w:rPr>
            </w:pPr>
            <w:r>
              <w:rPr>
                <w:rFonts w:ascii="Arial" w:cs="Arial" w:eastAsia="Arial" w:hAnsi="Arial"/>
                <w:sz w:val="18"/>
                <w:szCs w:val="18"/>
                <w:color w:val="auto"/>
              </w:rPr>
              <w:t>3,742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1,118</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$ 4.00 - $ 7.73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752</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$ 10.06 -$ 15.00</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12.07</w:t>
            </w:r>
          </w:p>
        </w:tc>
        <w:tc>
          <w:tcPr>
            <w:tcW w:w="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911</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2,205</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911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discussed in Note 1, the Company applied APB 25 and related interpretations in accounting for the 2000 Plan and the 2004 Plan for the period from inception (May 13, 1998) to December 31, 2005. During that period, the Company recorded $10.3 million in deferred compensation for employee stock options to purchase common stock granted at exercise prices deemed to be below the fair value of common stock. The Company has amortized the deferred stock-based compensation of employee options to compensation expense based on the graded-vesting method over the vesting periods of the applicable stock options, generally five years. The graded-vesting method provides for vesting of portions of the overall awards at interim dates and results in greater vesting in earlier years than the straight-line method. As of September 30, 2008, the deferred compensation related to these options has been fully amortized.</w:t>
      </w:r>
    </w:p>
    <w:p>
      <w:pPr>
        <w:spacing w:after="0" w:line="12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Also, as discussed in Note 1, the Company continues to account for stock options granted to employees and directors prior to the IPO using the intrinsic value method with deferred compensation being expensed based on the graded-vesting method. Options granted since the IPO are accounted for in accordance with SFAS 123R with the fair value being expensed either based on the graded-vesting method or on the straight-line method, as discussed in Note 1.</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Compensation expense of approximately $1.6 million, $1.0 million, $1.4 million, and $11.8 million was recognized for employee options during the years ended December 31, 2008, 2007 and 2006 and for the period from inception (May 13, 1998) to December 31, 2008, respectively, net of recoveries.</w:t>
      </w:r>
    </w:p>
    <w:p>
      <w:pPr>
        <w:spacing w:after="0" w:line="8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During the years ended December 31, 2007 and 2006, the Company recorded recoveries of previously reported stock-based compensation expense of approximately $420,000 and $83,000, respectively, upon the termination of employees or conversions to consultant. These amounts represent the difference between the expense recorded under the graded-vesting method and the expense that would have been recorded based upon the rights to options that vested during the service of these individuals as employees. The recoveries recorded during 2007 included approximately $395,000 related to an officer and $25,000 related to a development employee. The recoveries during 2006 were split approximately evenly between employees in development and administrative functions. There were no similar reversals during 2008.</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reversed approximately $120,000 during the year ended December 31, 2007, from deferred compensation related to outstanding options forfeited by an employee who terminated during the year, as the rights to the underlying shares had not fully vested by the date of conversion or termination of service as employees. There was no similar reversal in 2008 or 2006.</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Certain of the options previously granted to these individuals will continue to vest as the individuals provide consulting services to the Company. The fair value of options to be vested and earned after the employees’ change in status will be charged to expense as such options are earned over the remaining vesting periods using the straight-line method, as discussed below.</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discussion in Note 1—Summary of Significant Accounting Policies, Stock-Based Compensation, for a discussion of the implications of adoption of SFAS 123R effective January 1, 2006 on accounting for stock options to employees.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24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to Consultants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options held by consultants to purchase approximately 14,000 shares were unvested.</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 recorded charges in the statement of operations for stock options granted to consultants using the straight-line vesting method of approximately $30,000, $50,000, $83,000 and $970,000 for the years ended December 31, 2008, 2007, 2006 and the period from inception (May 13, 1998) to December 31, 2008, respectively. The straight-line method is commensurate with the services being provided by such consultants.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Notes Receivable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2001, the Company recorded notes receivable from stockholders in the aggregate amount of $438,165 in connection with the exercise of 585,000 shares of common stock options issued under the 2000 Plan. The notes are secured by the related shares of common stock and are full recourse notes, with interest compounded annually at the rate of 6.5% per year. The notes mature ten years from the date of issuance.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discussed above under “Common Stock”, one of the investors in the March 2008 Financing financed the purchase of its securities in this transaction with a promissory note to the Company in the amount of $6.0 million. The note receivable, as amended, was payable on or before January 30, 2009, bore interest to the Company at a rate of 9.25% per annum as of December 31, 2008, and was a full recourse note and is secured by a pledge of the securities purchased being held by the Company as collateral for the note together with additional securities owned by the borrower.</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of December 31, 2008, the amounts outstanding under these notes included principal in the amount of approximately $6.1 million and interest in the amount of approximately $450,000. As discussed in footnote 14—Subsequent Events—the note for $6.0 million from the investor in connection with the March 2008 Financing was collected in full on February 6, 2009, together with all accrued interests and costs associated with the note.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March 25, 2008, the Company sold warrants to purchase approximately 4.5 million shares of its common stock in the March 2008 Financing. On March 25, 2008, the Company also entered into a CEFF with Kingsbridge. In connection with the CEFF, Corcept issued a warrant to Kingsbridge to purchase up to 330,000 shares of common stock. See discussion above under the caption Common Stock.</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w w:val="91"/>
              </w:rPr>
              <w:t>Outstanding warrants at December 31, 2008 were as follows:</w:t>
            </w: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Number of shares</w:t>
            </w:r>
          </w:p>
        </w:tc>
        <w:tc>
          <w:tcPr>
            <w:tcW w:w="960" w:type="dxa"/>
            <w:vAlign w:val="bottom"/>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Exercise Price</w:t>
            </w:r>
          </w:p>
        </w:tc>
        <w:tc>
          <w:tcPr>
            <w:tcW w:w="96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Expiration Date</w:t>
            </w:r>
          </w:p>
        </w:tc>
        <w:tc>
          <w:tcPr>
            <w:tcW w:w="20" w:type="dxa"/>
            <w:vAlign w:val="bottom"/>
          </w:tcPr>
          <w:p>
            <w:pPr>
              <w:spacing w:after="0"/>
              <w:rPr>
                <w:sz w:val="24"/>
                <w:szCs w:val="24"/>
                <w:color w:val="auto"/>
              </w:rPr>
            </w:pPr>
          </w:p>
        </w:tc>
      </w:tr>
      <w:tr>
        <w:trPr>
          <w:trHeight w:val="211"/>
        </w:trPr>
        <w:tc>
          <w:tcPr>
            <w:tcW w:w="4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March 2008 Financing</w:t>
            </w:r>
          </w:p>
        </w:tc>
        <w:tc>
          <w:tcPr>
            <w:tcW w:w="13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4,461,599</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0.125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3/25/15</w:t>
            </w:r>
          </w:p>
        </w:tc>
        <w:tc>
          <w:tcPr>
            <w:tcW w:w="2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Kingsbridge CEFF</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330,000</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rPr>
              <w:t>3.525</w:t>
            </w:r>
          </w:p>
        </w:tc>
        <w:tc>
          <w:tcPr>
            <w:tcW w:w="1220" w:type="dxa"/>
            <w:vAlign w:val="bottom"/>
          </w:tcPr>
          <w:p>
            <w:pPr>
              <w:jc w:val="right"/>
              <w:spacing w:after="0"/>
              <w:rPr>
                <w:sz w:val="20"/>
                <w:szCs w:val="20"/>
                <w:color w:val="auto"/>
              </w:rPr>
            </w:pPr>
            <w:r>
              <w:rPr>
                <w:rFonts w:ascii="Arial" w:cs="Arial" w:eastAsia="Arial" w:hAnsi="Arial"/>
                <w:sz w:val="18"/>
                <w:szCs w:val="18"/>
                <w:color w:val="auto"/>
              </w:rPr>
              <w:t>9/25/13</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Net Loss Per Share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Basic and diluted net loss per share is computed by dividing the net loss by the weighted-average number of common shares outstanding during the period less outstanding shares subject to repurchase. Outstanding shares subject to repurchase are not included in the computation of basic net loss per share until the Company’s time-based repurchase rights have lapsed.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has been computed as follows: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center"/>
              <w:ind w:left="355"/>
              <w:spacing w:after="0"/>
              <w:rPr>
                <w:sz w:val="20"/>
                <w:szCs w:val="20"/>
                <w:color w:val="auto"/>
              </w:rPr>
            </w:pPr>
            <w:r>
              <w:rPr>
                <w:rFonts w:ascii="Arial" w:cs="Arial" w:eastAsia="Arial" w:hAnsi="Arial"/>
                <w:sz w:val="18"/>
                <w:szCs w:val="18"/>
                <w:b w:val="1"/>
                <w:bCs w:val="1"/>
                <w:color w:val="auto"/>
                <w:w w:val="86"/>
              </w:rPr>
              <w:t>Year ended December 31,</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w w:val="94"/>
              </w:rPr>
              <w:t>2008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2007</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i w:val="1"/>
                <w:iCs w:val="1"/>
                <w:color w:val="auto"/>
              </w:rPr>
              <w:t>(In</w:t>
            </w:r>
          </w:p>
        </w:tc>
        <w:tc>
          <w:tcPr>
            <w:tcW w:w="560" w:type="dxa"/>
            <w:vAlign w:val="bottom"/>
            <w:gridSpan w:val="3"/>
          </w:tcPr>
          <w:p>
            <w:pPr>
              <w:spacing w:after="0" w:line="142" w:lineRule="exact"/>
              <w:rPr>
                <w:sz w:val="20"/>
                <w:szCs w:val="20"/>
                <w:color w:val="auto"/>
              </w:rPr>
            </w:pPr>
            <w:r>
              <w:rPr>
                <w:rFonts w:ascii="Arial" w:cs="Arial" w:eastAsia="Arial" w:hAnsi="Arial"/>
                <w:sz w:val="14"/>
                <w:szCs w:val="14"/>
                <w:i w:val="1"/>
                <w:iCs w:val="1"/>
                <w:color w:val="auto"/>
                <w:w w:val="78"/>
              </w:rPr>
              <w:t>thousands,</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i w:val="1"/>
                <w:iCs w:val="1"/>
                <w:color w:val="auto"/>
                <w:w w:val="97"/>
              </w:rPr>
              <w:t>except per</w:t>
            </w:r>
          </w:p>
        </w:tc>
        <w:tc>
          <w:tcPr>
            <w:tcW w:w="1280" w:type="dxa"/>
            <w:vAlign w:val="bottom"/>
            <w:gridSpan w:val="3"/>
          </w:tcPr>
          <w:p>
            <w:pPr>
              <w:jc w:val="right"/>
              <w:ind w:right="432"/>
              <w:spacing w:after="0" w:line="142" w:lineRule="exact"/>
              <w:rPr>
                <w:sz w:val="20"/>
                <w:szCs w:val="20"/>
                <w:color w:val="auto"/>
              </w:rPr>
            </w:pPr>
            <w:r>
              <w:rPr>
                <w:rFonts w:ascii="Arial" w:cs="Arial" w:eastAsia="Arial" w:hAnsi="Arial"/>
                <w:sz w:val="14"/>
                <w:szCs w:val="14"/>
                <w:i w:val="1"/>
                <w:iCs w:val="1"/>
                <w:color w:val="auto"/>
                <w:w w:val="76"/>
              </w:rPr>
              <w:t>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(20,061)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2"/>
              </w:rPr>
              <w:t>(11,573)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(24,873)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historical basic and diluted net loss per share (denominator)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34,251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Less weighted-average shares subject to repurchase</w:t>
            </w:r>
          </w:p>
        </w:tc>
        <w:tc>
          <w:tcPr>
            <w:tcW w:w="12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34,251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(0.43)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(0.34)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has excluded the impact of common stock equivalents from the calculation of diluted net loss per common share because all such securities are antidilutive for all periods presented. In addition, for all periods presented, the Company excluded additional shares that might have been issued under stock option grants.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information on securities outstanding as of the end of each period that could potentially dilute the per share data in the future.</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080" w:type="dxa"/>
            <w:vAlign w:val="bottom"/>
            <w:gridSpan w:val="2"/>
          </w:tcPr>
          <w:p>
            <w:pPr>
              <w:jc w:val="right"/>
              <w:ind w:right="102"/>
              <w:spacing w:after="0"/>
              <w:rPr>
                <w:sz w:val="20"/>
                <w:szCs w:val="20"/>
                <w:color w:val="auto"/>
              </w:rPr>
            </w:pPr>
            <w:r>
              <w:rPr>
                <w:rFonts w:ascii="Arial" w:cs="Arial" w:eastAsia="Arial" w:hAnsi="Arial"/>
                <w:sz w:val="18"/>
                <w:szCs w:val="18"/>
                <w:b w:val="1"/>
                <w:bCs w:val="1"/>
                <w:color w:val="auto"/>
              </w:rPr>
              <w:t>2007</w:t>
            </w:r>
          </w:p>
        </w:tc>
        <w:tc>
          <w:tcPr>
            <w:tcW w:w="60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w w:val="76"/>
              </w:rPr>
              <w:t>(in thousands)</w:t>
            </w:r>
          </w:p>
        </w:tc>
        <w:tc>
          <w:tcPr>
            <w:tcW w:w="6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Warrants outstanding</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4,792</w:t>
            </w:r>
          </w:p>
        </w:tc>
        <w:tc>
          <w:tcPr>
            <w:tcW w:w="380" w:type="dxa"/>
            <w:vAlign w:val="bottom"/>
          </w:tcPr>
          <w:p>
            <w:pPr>
              <w:spacing w:after="0"/>
              <w:rPr>
                <w:sz w:val="18"/>
                <w:szCs w:val="18"/>
                <w:color w:val="auto"/>
              </w:rPr>
            </w:pP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20"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4"/>
              </w:rPr>
              <w:t>2008</w:t>
            </w: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right"/>
              <w:ind w:right="40"/>
              <w:spacing w:after="0" w:line="142" w:lineRule="exact"/>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Federal and state net operating losses</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24,406</w:t>
            </w:r>
          </w:p>
        </w:tc>
        <w:tc>
          <w:tcPr>
            <w:tcW w:w="3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research and patent costs</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Stock-based compensation costs</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credits</w:t>
            </w:r>
          </w:p>
        </w:tc>
        <w:tc>
          <w:tcPr>
            <w:tcW w:w="3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880"/>
              <w:spacing w:after="0"/>
              <w:rPr>
                <w:sz w:val="20"/>
                <w:szCs w:val="20"/>
                <w:color w:val="auto"/>
              </w:rPr>
            </w:pPr>
            <w:r>
              <w:rPr>
                <w:rFonts w:ascii="Arial" w:cs="Arial" w:eastAsia="Arial" w:hAnsi="Arial"/>
                <w:sz w:val="18"/>
                <w:szCs w:val="18"/>
                <w:color w:val="auto"/>
              </w:rPr>
              <w:t>Total deferred tax assets</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49,509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(49,509)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(41,281)</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3780" w:type="dxa"/>
            <w:vAlign w:val="bottom"/>
            <w:gridSpan w:val="2"/>
          </w:tcPr>
          <w:p>
            <w:pPr>
              <w:jc w:val="right"/>
              <w:ind w:right="2583"/>
              <w:spacing w:after="0"/>
              <w:rPr>
                <w:sz w:val="20"/>
                <w:szCs w:val="20"/>
                <w:color w:val="auto"/>
              </w:rPr>
            </w:pPr>
            <w:r>
              <w:rPr>
                <w:rFonts w:ascii="Arial" w:cs="Arial" w:eastAsia="Arial" w:hAnsi="Arial"/>
                <w:sz w:val="18"/>
                <w:szCs w:val="18"/>
                <w:color w:val="auto"/>
              </w:rPr>
              <w:t>F-32</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$8.2 million, $4.0 million and $9.9 million for the years ended December 31, 2008, 2007 and 2006, respectively.</w:t>
      </w:r>
    </w:p>
    <w:p>
      <w:pPr>
        <w:spacing w:after="0" w:line="14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As of December 31, 2008, the Company had net operating loss carryforwards for federal income tax purposes of approximately $61.3 million, which expire in the years 2019 through 2028. The Company also has California net operating loss carryforwards of approximately $61.2 million, which expire in the years 2009 through 2028. The Company also has federal and California research and development tax credits of approximately $1.0 million and $900,000,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federal research credits will expire in the years 2019 through 2028 and the California research credits have no expiration date.</w:t>
      </w:r>
    </w:p>
    <w:p>
      <w:pPr>
        <w:spacing w:after="0" w:line="16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100" w:type="dxa"/>
            <w:vAlign w:val="bottom"/>
            <w:gridSpan w:val="2"/>
          </w:tcPr>
          <w:p>
            <w:pPr>
              <w:spacing w:after="0"/>
              <w:rPr>
                <w:sz w:val="20"/>
                <w:szCs w:val="20"/>
                <w:color w:val="auto"/>
              </w:rPr>
            </w:pPr>
            <w:r>
              <w:rPr>
                <w:rFonts w:ascii="Arial" w:cs="Arial" w:eastAsia="Arial" w:hAnsi="Arial"/>
                <w:sz w:val="18"/>
                <w:szCs w:val="18"/>
                <w:color w:val="auto"/>
                <w:w w:val="98"/>
              </w:rPr>
              <w:t>A reconciliation from the statutory federal income tax rate to the effective rate is as follows: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0"/>
        </w:trPr>
        <w:tc>
          <w:tcPr>
            <w:tcW w:w="4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4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2008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2007</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2006</w:t>
            </w:r>
          </w:p>
        </w:tc>
        <w:tc>
          <w:tcPr>
            <w:tcW w:w="60" w:type="dxa"/>
            <w:vAlign w:val="bottom"/>
          </w:tcPr>
          <w:p>
            <w:pPr>
              <w:spacing w:after="0"/>
              <w:rPr>
                <w:sz w:val="18"/>
                <w:szCs w:val="18"/>
                <w:color w:val="auto"/>
              </w:rPr>
            </w:pPr>
          </w:p>
        </w:tc>
      </w:tr>
      <w:tr>
        <w:trPr>
          <w:trHeight w:val="142"/>
        </w:trPr>
        <w:tc>
          <w:tcPr>
            <w:tcW w:w="4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i w:val="1"/>
                <w:iCs w:val="1"/>
                <w:color w:val="auto"/>
                <w:w w:val="99"/>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(benefit)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(6,821)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(3,935)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(8,457)</w:t>
            </w:r>
          </w:p>
        </w:tc>
      </w:tr>
      <w:tr>
        <w:trPr>
          <w:trHeight w:val="216"/>
        </w:trPr>
        <w:tc>
          <w:tcPr>
            <w:tcW w:w="46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State tax</w:t>
            </w: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Unutilized, net operating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6,597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8,211</w:t>
            </w:r>
          </w:p>
        </w:tc>
      </w:tr>
      <w:tr>
        <w:trPr>
          <w:trHeight w:val="216"/>
        </w:trPr>
        <w:tc>
          <w:tcPr>
            <w:tcW w:w="46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Non-deductible stock based compensation</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6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During 2004 through 2008 the Company executed a number of agreements to conduct clinical trials and pre-clinical studies for further development of its lead product, CORLUX, targeted for the treatment of psychotic depression and Cushing’s Syndrome, as well as other product indications. See the discussion in footnote 2—Significant Agreements—Research Agreements and Development Agreements for further discussion regarding these agreements.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the ordinary course of its business, the Company makes certain indemnities, commitments and guarantees under which it may be required to make payments in relation to certain transactions. These include indemnities of clinical investigators and contract research organizations involved in the development of the Company’s clinical stage product candidates, indemnities of contract manufacturers and indemnities to directors and officers of the Company to the maximum extent permitted under the laws of the State of Delaware. The duration of these indemnities, commitments and guarantees varies, and in certain cases, is indefinite. The majority of these indemnities, commitments and guarantees do not provide for any limitation of the maximum potential future payments the Company could be obligated to make. The Company has not recorded any liability for these indemnities, commitments and guarantees in the accompanying consolidated balance sheets. However, the Company accrues for losses for any known contingent liability, including those that may arise from indemnification provisions, when future payment is probable and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No such losses have been recorded to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Quarterly Financial Data (Unaudited)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60" w:type="dxa"/>
            <w:vAlign w:val="bottom"/>
            <w:gridSpan w:val="2"/>
          </w:tcPr>
          <w:p>
            <w:pPr>
              <w:ind w:left="440"/>
              <w:spacing w:after="0"/>
              <w:rPr>
                <w:sz w:val="20"/>
                <w:szCs w:val="20"/>
                <w:color w:val="auto"/>
              </w:rPr>
            </w:pPr>
            <w:r>
              <w:rPr>
                <w:rFonts w:ascii="Arial" w:cs="Arial" w:eastAsia="Arial" w:hAnsi="Arial"/>
                <w:sz w:val="18"/>
                <w:szCs w:val="18"/>
                <w:color w:val="auto"/>
              </w:rPr>
              <w:t>The following table is in thousands, except per share amounts: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Quarter Ended</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March 31</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June 30</w:t>
            </w: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2008</w:t>
            </w:r>
            <w:r>
              <w:rPr>
                <w:rFonts w:ascii="Arial" w:cs="Arial" w:eastAsia="Arial" w:hAnsi="Arial"/>
                <w:sz w:val="22"/>
                <w:szCs w:val="22"/>
                <w:b w:val="1"/>
                <w:bCs w:val="1"/>
                <w:color w:val="auto"/>
                <w:vertAlign w:val="superscript"/>
              </w:rPr>
              <w:t>(1)</w:t>
            </w:r>
          </w:p>
        </w:tc>
        <w:tc>
          <w:tcPr>
            <w:tcW w:w="49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(4,396)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(5,565)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2007</w:t>
            </w:r>
            <w:r>
              <w:rPr>
                <w:rFonts w:ascii="Arial" w:cs="Arial" w:eastAsia="Arial" w:hAnsi="Arial"/>
                <w:sz w:val="22"/>
                <w:szCs w:val="22"/>
                <w:b w:val="1"/>
                <w:bCs w:val="1"/>
                <w:color w:val="auto"/>
                <w:vertAlign w:val="superscript"/>
              </w:rPr>
              <w:t>(2)</w:t>
            </w:r>
          </w:p>
        </w:tc>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(1,417)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(3,427)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2006</w:t>
            </w:r>
            <w:r>
              <w:rPr>
                <w:rFonts w:ascii="Arial" w:cs="Arial" w:eastAsia="Arial" w:hAnsi="Arial"/>
                <w:sz w:val="22"/>
                <w:szCs w:val="22"/>
                <w:b w:val="1"/>
                <w:bCs w:val="1"/>
                <w:color w:val="auto"/>
                <w:vertAlign w:val="superscript"/>
              </w:rPr>
              <w:t>(3)</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(6,730)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(7,864)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(6,403)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During 2008 the Company issued shares of common stock in a series of equity transactions:</w:t>
      </w:r>
    </w:p>
    <w:p>
      <w:pPr>
        <w:ind w:left="800" w:hanging="454"/>
        <w:spacing w:after="0" w:line="221" w:lineRule="auto"/>
        <w:tabs>
          <w:tab w:leader="none" w:pos="80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—approximately 8.9 million shares on March 25, 2008 in a private equity transaction,</w:t>
      </w:r>
    </w:p>
    <w:p>
      <w:pPr>
        <w:ind w:left="800" w:hanging="454"/>
        <w:spacing w:after="0" w:line="221" w:lineRule="auto"/>
        <w:tabs>
          <w:tab w:leader="none" w:pos="80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—approximately 404,600 shares in July / August 2008 under the Committed Equity Financing Facility,</w:t>
      </w:r>
    </w:p>
    <w:p>
      <w:pPr>
        <w:ind w:left="800" w:hanging="454"/>
        <w:spacing w:after="0" w:line="221" w:lineRule="auto"/>
        <w:tabs>
          <w:tab w:leader="none" w:pos="80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—approximately 883,200 shares in November 2008 in settlement of liquidated damages.</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During 2007 the Company sold shares of common stock in a series of private equity transactions:</w:t>
      </w:r>
    </w:p>
    <w:p>
      <w:pPr>
        <w:ind w:left="800" w:hanging="454"/>
        <w:spacing w:after="0" w:line="221" w:lineRule="auto"/>
        <w:tabs>
          <w:tab w:leader="none" w:pos="80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—approximately 9.0 million shares on March 30, 2007</w:t>
      </w:r>
    </w:p>
    <w:p>
      <w:pPr>
        <w:ind w:left="800" w:hanging="454"/>
        <w:spacing w:after="0" w:line="221" w:lineRule="auto"/>
        <w:tabs>
          <w:tab w:leader="none" w:pos="80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—approximately 3.6 million shares on August 17, 2007; and</w:t>
      </w:r>
    </w:p>
    <w:p>
      <w:pPr>
        <w:ind w:left="800" w:hanging="454"/>
        <w:spacing w:after="0" w:line="221" w:lineRule="auto"/>
        <w:tabs>
          <w:tab w:leader="none" w:pos="80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—approximately 1.2 million shares on September 24, 2007.</w:t>
      </w: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 December 2006, in connection with a private equity transaction the Company sold 3.0 million shares of common stock.</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January 15, 2009, the Company signed an agreement for the performance of the manufacturing of materials, which costs are expected to be incurred during 2009 and additional pre-clinical work in regard to our selective GR-II antagonist, CORT 108297, for a commitment of approximately $835,000, which is expected to be expended during 2009.</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February 6, 2009, the note receivable of $6.0 million from the March 2008 Financing was collected in full including all accrued interest to that date and expenses associated with the note. Upon receipt of the funds, the Company released its interest in the collateral that had been held as security for the note.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46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4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320" w:type="dxa"/>
            <w:vAlign w:val="bottom"/>
          </w:tcPr>
          <w:p>
            <w:pPr>
              <w:spacing w:after="0"/>
              <w:rPr>
                <w:sz w:val="14"/>
                <w:szCs w:val="14"/>
                <w:color w:val="auto"/>
              </w:rPr>
            </w:pPr>
          </w:p>
        </w:tc>
      </w:tr>
      <w:tr>
        <w:trPr>
          <w:trHeight w:val="309"/>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registrant’s Registration Statement on Form</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S-1/A (File No. 333-112676) filed on March 19, 2004).</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Amended and Restated Bylaws (incorporated by reference to Exhibit 3.1 to the registrant’s Current Report on Form 8-K filed on September 27,</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80" w:type="dxa"/>
            <w:vAlign w:val="bottom"/>
          </w:tcPr>
          <w:p>
            <w:pPr>
              <w:ind w:left="620"/>
              <w:spacing w:after="0"/>
              <w:rPr>
                <w:sz w:val="20"/>
                <w:szCs w:val="20"/>
                <w:color w:val="auto"/>
              </w:rPr>
            </w:pPr>
            <w:r>
              <w:rPr>
                <w:rFonts w:ascii="Arial" w:cs="Arial" w:eastAsia="Arial" w:hAnsi="Arial"/>
                <w:sz w:val="18"/>
                <w:szCs w:val="18"/>
                <w:color w:val="auto"/>
              </w:rPr>
              <w:t>2007).</w:t>
            </w:r>
          </w:p>
        </w:tc>
        <w:tc>
          <w:tcPr>
            <w:tcW w:w="154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6"/>
              </w:rPr>
              <w:t>Specimen Common Stock Certificate (incorporated by reference to Exhibit 4.1 to the registrant’s Registration Statement on Form S-1</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(Registration No. 333-112676) filed on February 10, 2004).</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8"/>
              </w:rPr>
              <w:t>Amended and Restated Information and Registration Rights Agreement by and among Corcept Therapeutics Incorporated and certain holders of</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4"/>
              </w:rPr>
              <w:t>preferred stock, dated as of May 8, 2001 (incorporated by reference to Exhibit 4.2 to the registrant’s Registration Statement on Form S-1</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(Registration No. 333-112676) filed on February 10, 2004).</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4.3</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Amendment No. 1 to Amended and Restated Information and Registration Rights Agreement by and among Corcept Therapeutics Incorporated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3"/>
              </w:rPr>
              <w:t>and certain holders of preferred stock, dated as of March 16, 2004 (incorporated by reference to Exhibit 4.3 to the registrant’s Registration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Statement on Form S-1/A (File No. 333-112676) filed on March 19, 2004).</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w w:val="90"/>
              </w:rPr>
              <w:t>10.1*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2000 Stock Option Plan (incorporated by reference to Exhibit 10.1 to the registrant’s Registration Statement on Form S-1 (Registration No. 333-</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112676) filed on February 10, 2004).</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w w:val="90"/>
              </w:rPr>
              <w:t>10.2*</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Promissory Note and Pledge Agreement by and between Corcept Therapeutics Incorporated and Robert L. Roe, M.D., dated as of October 22,</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0"/>
              </w:rPr>
              <w:t>2001 (incorporated by reference to Exhibit 10.4 to the registrant’s Registration Statement on Form S-1 (Registration No. 333-112676) filed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February 10, 2004).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1"/>
              </w:rPr>
              <w:t>License Agreement by and between The Board of Trustees of the Leland Stanford Junior University and Corcept Therapeutics Incorporated,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dated as of July 1, 1999 (incorporated by reference to Exhibit 10.6 to the registrant’s Registration Statement on Form S-1 (Registration No. 333-</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112676) filed on February 10, 2004).</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10.4</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Master Clinical Development Agreement by and between Corcept Therapeutics Incorporated and Scirex Corporation, dated as of July 12, 2001</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4"/>
              </w:rPr>
              <w:t>(incorporated by reference to Exhibit 10.8 to the registrant’s Registration Statement on Form S-1 (Registration No. 333-112676) filed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February 10, 2004).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10.5#</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8"/>
              </w:rPr>
              <w:t>Memorandum of Understanding, Supply and Services Agreement, by and between Corcept Therapeutics Incorporated and ScinoPharm Taiwan,</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1"/>
              </w:rPr>
              <w:t>dated as of June 12, 2000 (incorporated by reference to Exhibit 10.9 to the registrant’s Registration Statement on Form S-1/A (File No. 333-</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112676) filed on March 19, 2004).</w:t>
            </w: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w w:val="90"/>
              </w:rPr>
              <w:t>10.6*</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0"/>
              </w:rPr>
              <w:t>2004 Equity Incentive Plan (incorporated by reference to Exhibit 10.11 to the registrant’s Registration Statement on Form S-1/A (File No. 333-</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112676) filed on April 9, 2004).</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10.7</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2"/>
              </w:rPr>
              <w:t>Master Services Agreement by and between Corcept Therapeutics Incorporated and PPD Development, LP, dated as of January 17, 2003</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0"/>
              </w:rPr>
              <w:t>(incorporated by reference to Exhibit 10.12 to the registrant’s Registration Statement on Form S-1/A (File No. 333-112676) filed on March 19,</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80" w:type="dxa"/>
            <w:vAlign w:val="bottom"/>
          </w:tcPr>
          <w:p>
            <w:pPr>
              <w:ind w:left="620"/>
              <w:spacing w:after="0"/>
              <w:rPr>
                <w:sz w:val="20"/>
                <w:szCs w:val="20"/>
                <w:color w:val="auto"/>
              </w:rPr>
            </w:pPr>
            <w:r>
              <w:rPr>
                <w:rFonts w:ascii="Arial" w:cs="Arial" w:eastAsia="Arial" w:hAnsi="Arial"/>
                <w:sz w:val="18"/>
                <w:szCs w:val="18"/>
                <w:color w:val="auto"/>
              </w:rPr>
              <w:t>2004).</w:t>
            </w:r>
          </w:p>
        </w:tc>
        <w:tc>
          <w:tcPr>
            <w:tcW w:w="154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10.8</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8"/>
              </w:rPr>
              <w:t>Master Services Agreement by and between Corcept Therapeutics Incorporated and i3 Research, a division of Ingenix Pharmaceuticals Services</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0"/>
              </w:rPr>
              <w:t>(UK) Limited, dated as of October 28, 2004 (incorporated by reference to Exhibit 10.13 to the registrant’s Annual Report on Form 10-K filed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March 29, 2005).</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4"/>
              </w:rPr>
              <w:t>10.9##</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Manufacturing Agreement with Produits Chimgues Auxiliaries et de Synthese SA, dated November 8, 2006 (incorporated by reference to Exhibit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10.15 to the registrant’s Annual Report on Form 10-K filed on April 2, 2007).</w:t>
            </w:r>
          </w:p>
        </w:tc>
      </w:tr>
    </w:tbl>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280" w:type="dxa"/>
            <w:vAlign w:val="bottom"/>
          </w:tcPr>
          <w:p>
            <w:pPr>
              <w:spacing w:after="0"/>
              <w:rPr>
                <w:sz w:val="14"/>
                <w:szCs w:val="14"/>
                <w:color w:val="auto"/>
              </w:rPr>
            </w:pPr>
          </w:p>
        </w:tc>
      </w:tr>
      <w:tr>
        <w:trPr>
          <w:trHeight w:val="309"/>
        </w:trPr>
        <w:tc>
          <w:tcPr>
            <w:tcW w:w="5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9"/>
              </w:rPr>
              <w:t>Common Stock Purchase Agreement by and among Corcept Therapeutics Incorporated and each of the Purchasers listed on Exhibit A thereto,</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2"/>
              </w:rPr>
              <w:t>dated November 14, 2006 (incorporated by reference to Exhibit 10.1 to the registrant’s Current Report on Form 8-K filed on November 16,</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80" w:type="dxa"/>
            <w:vAlign w:val="bottom"/>
          </w:tcPr>
          <w:p>
            <w:pPr>
              <w:ind w:left="620"/>
              <w:spacing w:after="0"/>
              <w:rPr>
                <w:sz w:val="20"/>
                <w:szCs w:val="20"/>
                <w:color w:val="auto"/>
              </w:rPr>
            </w:pPr>
            <w:r>
              <w:rPr>
                <w:rFonts w:ascii="Arial" w:cs="Arial" w:eastAsia="Arial" w:hAnsi="Arial"/>
                <w:sz w:val="18"/>
                <w:szCs w:val="18"/>
                <w:color w:val="auto"/>
              </w:rPr>
              <w:t>2006).</w:t>
            </w:r>
          </w:p>
        </w:tc>
        <w:tc>
          <w:tcPr>
            <w:tcW w:w="15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1"/>
              </w:rPr>
              <w:t>Common Stock Purchase Agreement by and among Corcept Therapeutics Incorporated and each of those persons and entities listed on the</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7"/>
              </w:rPr>
              <w:t>Schedule of Purchasers thereto, dated as of March 30, 2007 (incorporated by reference to Exhibit 10.1 to the registrant’s Current Report on Form</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8-K filed on April 3, 2007).</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10.12*</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8"/>
              </w:rPr>
              <w:t>Severance and Change in Control Agreement by and between Corcept Therapeutics Incorporated and Joseph K. Belanoff, M. D., dated July 24,</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2007 (incorporated by reference to Exhibit 10.2 to the registrant’s Quarterly Report on Form 10-Q filed on August 14, 2007).</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10.13*</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8"/>
              </w:rPr>
              <w:t>Severance and Change in Control Agreement by and between Corcept Therapeutics Incorporated and Robert L. Roe, M. D., dated July 24, 2007</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(incorporated by reference to Exhibit 10.3 to the registrant’s Quarterly Report on Form 10-Q filed on August 14, 2007).</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10.14*</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0"/>
              </w:rPr>
              <w:t>Severance and Change in Control Agreement by and between Corcept Therapeutics Incorporated and Anne M. LeDoux, dated July 24, 2007</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(incorporated by reference to Exhibit 10.4 to the registrant’s Quarterly Report on Form 10-Q filed on August 14, 2007).</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10.15*</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0"/>
              </w:rPr>
              <w:t>Severance and Change in Control Agreement by and between Corcept Therapeutics Incorporated and James N. Wilson, dated July 24, 2007</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(incorporated by reference to Exhibit 10.5 to the registrant’s Quarterly Report on Form 10-Q filed on August 14, 2007).</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1"/>
              </w:rPr>
              <w:t>Common Stock Purchase Agreement by and among Corcept Therapeutics Incorporated and each of those persons and entities listed on the</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7"/>
              </w:rPr>
              <w:t>Schedule of Purchasers thereto, dated as of August 16, 2007 (incorporated by reference to Exhibit 10.1 to the registrants Current Report on Form</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8-K filed on August 21, 2007).</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10.17*</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3"/>
              </w:rPr>
              <w:t>Form of Indemnification Agreement for directors and officers approved by the Board of Directors on September 24, 2007 (incorporated by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reference to Exhibit 10.7 to the registrant’s Quarterly Report on Form 10-Q filed on November 14, 2007).</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0"/>
              </w:rPr>
              <w:t>Securities Purchase Agreement by and among Corcept Therapeutics Incorporated and the purchasers named therein, dated March 14, 2008</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(incorporated by reference to Exhibit 10.24 to the registrant’s Annual Report on Form 10-K filed on March 31,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1"/>
              </w:rPr>
              <w:t>Registration Rights Agreement by and among Corcept Therapeutics Incorporated and the investors signatory thereto, dated March 14, 2008</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(incorporated by reference to Exhibit 10.25 to the registrant’s Annual Report on Form 10-K filed on March 31,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93"/>
              </w:rPr>
              <w:t>Form of Warrant issued in connection with the Securities Purchase Agreement by and among Corcept Therapeutics Incorporated and the</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9"/>
              </w:rPr>
              <w:t>purchasers named therein, dated March 14, 2008 (incorporated by reference to Exhibit 4.4 to the registrant’s Annual Report on Form 10-K filed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on March 31,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8"/>
              </w:rPr>
              <w:t>Common Stock Purchase Agreement by and between Kingsbridge Capital Limited and Corcept Therapeutics Incorporated dated as of March 25,</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2008 (incorporated by reference to Exhibit 10.26 to the registrant’s Annual Report on Form 10-K filed on March 31,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9"/>
              </w:rPr>
              <w:t>Warrant, dated March 25, 2008 issued to Kingsbridge Capital Limited (incorporated by reference to Exhibit 4.5 to the registrant’s Annual Report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on Form 10-K filed on March 31,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w w:val="88"/>
              </w:rPr>
              <w:t>Registration Rights Agreement by and between Corcept Therapeutics Incorporated and Kingsbridge Capital Limited, dated as of March 25, 2008</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0" w:type="dxa"/>
            <w:vAlign w:val="bottom"/>
            <w:gridSpan w:val="3"/>
          </w:tcPr>
          <w:p>
            <w:pPr>
              <w:ind w:left="620"/>
              <w:spacing w:after="0"/>
              <w:rPr>
                <w:sz w:val="20"/>
                <w:szCs w:val="20"/>
                <w:color w:val="auto"/>
              </w:rPr>
            </w:pPr>
            <w:r>
              <w:rPr>
                <w:rFonts w:ascii="Arial" w:cs="Arial" w:eastAsia="Arial" w:hAnsi="Arial"/>
                <w:sz w:val="18"/>
                <w:szCs w:val="18"/>
                <w:color w:val="auto"/>
              </w:rPr>
              <w:t>(incorporated by reference to Exhibit 10.27 to the registrant’s Annual Report on Form 10-K filed on March 31, 2008).</w:t>
            </w:r>
          </w:p>
        </w:tc>
      </w:tr>
    </w:tbl>
    <w:p>
      <w:pPr>
        <w:sectPr>
          <w:pgSz w:w="11900" w:h="16838" w:orient="portrait"/>
          <w:cols w:equalWidth="0" w:num="1">
            <w:col w:w="11340"/>
          </w:cols>
          <w:pgMar w:left="240" w:top="459" w:right="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320" w:type="dxa"/>
            <w:vAlign w:val="bottom"/>
          </w:tcPr>
          <w:p>
            <w:pPr>
              <w:spacing w:after="0"/>
              <w:rPr>
                <w:sz w:val="14"/>
                <w:szCs w:val="14"/>
                <w:color w:val="auto"/>
              </w:rPr>
            </w:pPr>
          </w:p>
        </w:tc>
      </w:tr>
      <w:tr>
        <w:trPr>
          <w:trHeight w:val="309"/>
        </w:trPr>
        <w:tc>
          <w:tcPr>
            <w:tcW w:w="540" w:type="dxa"/>
            <w:vAlign w:val="bottom"/>
            <w:gridSpan w:val="2"/>
          </w:tcPr>
          <w:p>
            <w:pPr>
              <w:spacing w:after="0"/>
              <w:rPr>
                <w:sz w:val="20"/>
                <w:szCs w:val="20"/>
                <w:color w:val="auto"/>
              </w:rPr>
            </w:pPr>
            <w:r>
              <w:rPr>
                <w:rFonts w:ascii="Arial" w:cs="Arial" w:eastAsia="Arial" w:hAnsi="Arial"/>
                <w:sz w:val="18"/>
                <w:szCs w:val="18"/>
                <w:color w:val="auto"/>
                <w:w w:val="94"/>
              </w:rPr>
              <w:t>10.24#</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4"/>
              </w:rPr>
              <w:t>Master Service Agreement by and among Corcept Therapeutics Incorporated and ICON Clinical Research, L.P., signed on June 4, 2008</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(incorporated by reference to Exhibit 10.5 to the registrant’s Quarterly Report on Form 10-Q filed on August 14,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10.25*</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7"/>
              </w:rPr>
              <w:t>Amended and Restated Severance and Change in Control Agreement by and between Corcept Therapeutics Incorporated and Joseph K. Belanoff,</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M. D., dated September 19,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10.26*</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8"/>
              </w:rPr>
              <w:t>Amended and Restated Severance and Change in Control Agreement by and between Corcept Therapeutics Incorporated and Robert L. Roe, M.</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D., dated September 19,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10.27*</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8"/>
              </w:rPr>
              <w:t>Amended and Restated Severance and Change in Control Agreement by and between Corcept Therapeutics Incorporated and Anne M. LeDoux,</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dated September 19,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10.28*</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8"/>
              </w:rPr>
              <w:t>Amended and Restated Severance and Change in Control Agreement by and between Corcept Therapeutics Incorporated and James N. Wilson,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dated September 19, 2008.</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10.29*</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Employment offer letter to Caroline M. Loewy, dated October 21,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10.30</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2"/>
              </w:rPr>
              <w:t>Amendment to Registration Rights Agreement by and among Corcept Therapeutics Incorporated and the investors signatory thereto, dated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November 11, 2008.</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89"/>
              </w:rPr>
              <w:t>Severance and Change in Control Agreement by and between Corcept Therapeutics Incorporated and Caroline M. Loewy, dated November 28,</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80" w:type="dxa"/>
            <w:vAlign w:val="bottom"/>
          </w:tcPr>
          <w:p>
            <w:pPr>
              <w:ind w:left="620"/>
              <w:spacing w:after="0"/>
              <w:rPr>
                <w:sz w:val="20"/>
                <w:szCs w:val="20"/>
                <w:color w:val="auto"/>
              </w:rPr>
            </w:pPr>
            <w:r>
              <w:rPr>
                <w:rFonts w:ascii="Arial" w:cs="Arial" w:eastAsia="Arial" w:hAnsi="Arial"/>
                <w:sz w:val="18"/>
                <w:szCs w:val="18"/>
                <w:color w:val="auto"/>
              </w:rPr>
              <w:t>2008.</w:t>
            </w:r>
          </w:p>
        </w:tc>
        <w:tc>
          <w:tcPr>
            <w:tcW w:w="154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14.1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w w:val="90"/>
              </w:rPr>
              <w:t>Code of Ethics (incorporated by reference to Exhibit 99.1 to the registrant’s Registration Statement on Form S-1/A (File No. 333-112676) filed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on March 19, 2004).</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Power of Attorney (See signature page)</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Certification pursuant to Rule 13a-14(a) under the Securities Exchange Act of 1934 of Joseph K. Belanoff, M.D.</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Certification pursuant to Rule 13a-14(a) under the Securities Exchange Act of 1934 of Caroline M. Loewy</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32.1</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Certification pursuant to 18 U.S.C. Section 1350 of Joseph K. Belanoff, M.D.</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32.2</w:t>
            </w:r>
          </w:p>
        </w:tc>
        <w:tc>
          <w:tcPr>
            <w:tcW w:w="10840" w:type="dxa"/>
            <w:vAlign w:val="bottom"/>
            <w:gridSpan w:val="3"/>
          </w:tcPr>
          <w:p>
            <w:pPr>
              <w:ind w:left="620"/>
              <w:spacing w:after="0"/>
              <w:rPr>
                <w:sz w:val="20"/>
                <w:szCs w:val="20"/>
                <w:color w:val="auto"/>
              </w:rPr>
            </w:pPr>
            <w:r>
              <w:rPr>
                <w:rFonts w:ascii="Arial" w:cs="Arial" w:eastAsia="Arial" w:hAnsi="Arial"/>
                <w:sz w:val="18"/>
                <w:szCs w:val="18"/>
                <w:color w:val="auto"/>
              </w:rPr>
              <w:t>Certification pursuant to 18 U.S.C. Section 1350 of Caroline M. Loewy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9260" w:firstLine="8"/>
        <w:spacing w:after="0" w:line="268" w:lineRule="auto"/>
        <w:tabs>
          <w:tab w:leader="none" w:pos="338" w:val="left"/>
        </w:tabs>
        <w:numPr>
          <w:ilvl w:val="0"/>
          <w:numId w:val="71"/>
        </w:numPr>
        <w:rPr>
          <w:rFonts w:ascii="Arial" w:cs="Arial" w:eastAsia="Arial" w:hAnsi="Arial"/>
          <w:sz w:val="12"/>
          <w:szCs w:val="12"/>
          <w:color w:val="auto"/>
        </w:rPr>
      </w:pPr>
      <w:r>
        <w:rPr>
          <w:rFonts w:ascii="Arial" w:cs="Arial" w:eastAsia="Arial" w:hAnsi="Arial"/>
          <w:sz w:val="12"/>
          <w:szCs w:val="12"/>
          <w:color w:val="auto"/>
        </w:rPr>
        <w:t>Confidential treatment granted ## Confidential treatment requested</w:t>
      </w:r>
    </w:p>
    <w:p>
      <w:pPr>
        <w:spacing w:after="0"/>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2"/>
          <w:szCs w:val="12"/>
          <w:color w:val="auto"/>
        </w:rPr>
        <w:t>Management contract or compensatory plan or arrangement</w:t>
      </w:r>
    </w:p>
    <w:p>
      <w:pPr>
        <w:sectPr>
          <w:pgSz w:w="11900" w:h="16838" w:orient="portrait"/>
          <w:cols w:equalWidth="0" w:num="1">
            <w:col w:w="11380"/>
          </w:cols>
          <w:pgMar w:left="240" w:top="459" w:right="2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AND CHANGE IN CONTROL AGREEMENT</w:t>
      </w:r>
    </w:p>
    <w:p>
      <w:pPr>
        <w:spacing w:after="0" w:line="171"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THIS AMENDED AND RESTATED SEVERANCE AND CHANGE IN CONTROL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19</w:t>
      </w:r>
      <w:r>
        <w:rPr>
          <w:rFonts w:ascii="Arial" w:cs="Arial" w:eastAsia="Arial" w:hAnsi="Arial"/>
          <w:sz w:val="18"/>
          <w:szCs w:val="18"/>
          <w:b w:val="1"/>
          <w:bCs w:val="1"/>
          <w:color w:val="auto"/>
        </w:rPr>
        <w:t xml:space="preserve">, </w:t>
      </w:r>
      <w:r>
        <w:rPr>
          <w:rFonts w:ascii="Arial" w:cs="Arial" w:eastAsia="Arial" w:hAnsi="Arial"/>
          <w:sz w:val="18"/>
          <w:szCs w:val="18"/>
          <w:color w:val="auto"/>
        </w:rPr>
        <w:t>2008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Joseph K. Belanoff, MD, Chief Executive Officer (“</w:t>
      </w:r>
      <w:r>
        <w:rPr>
          <w:rFonts w:ascii="Arial" w:cs="Arial" w:eastAsia="Arial" w:hAnsi="Arial"/>
          <w:sz w:val="18"/>
          <w:szCs w:val="18"/>
          <w:u w:val="single" w:color="auto"/>
          <w:color w:val="auto"/>
        </w:rPr>
        <w:t>Executive</w:t>
      </w:r>
      <w:r>
        <w:rPr>
          <w:rFonts w:ascii="Arial" w:cs="Arial" w:eastAsia="Arial" w:hAnsi="Arial"/>
          <w:sz w:val="18"/>
          <w:szCs w:val="18"/>
          <w:color w:val="auto"/>
        </w:rPr>
        <w:t>”) and Corcept Therapeutics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the Company and Executive desire to amend and restate that certain Severance and Change in Control Agreement, dated as of July 24, 2007, in order to reflect certain recent changes affecting the taxation of deferred compensation arrangements pursuant to Section 409A of the Internal Revenue Code of 1986, as amended (the “Code”);</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Executive is a senior executive of the Company and has made and is expected to continue to make major contributions to the short and long term profitability, growth and financial strength of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recognizes that, as is the case for most publicly held companies, the possibility of a Change in Control (as defined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exists;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desires to assure itself of both present and future continuity of management;</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the Company wishes to ensure that Executive is not practically disabled from discharging his duties in respect of a proposed or actual transaction involving a Change in Control;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desires to provide additional inducement for Executive to continue to remain in the employ of the Company.</w:t>
      </w:r>
    </w:p>
    <w:p>
      <w:pPr>
        <w:spacing w:after="0" w:line="194"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exchange for good and valuable consideration, the receipt and sufficiency of which is hereby acknowledged, the Company and Executive agree as follows:</w:t>
      </w:r>
    </w:p>
    <w:p>
      <w:pPr>
        <w:spacing w:after="0" w:line="51" w:lineRule="exact"/>
        <w:rPr>
          <w:sz w:val="20"/>
          <w:szCs w:val="20"/>
          <w:color w:val="auto"/>
        </w:rPr>
      </w:pPr>
    </w:p>
    <w:p>
      <w:pPr>
        <w:ind w:right="280" w:firstLine="464"/>
        <w:spacing w:after="0" w:line="268"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In addition to terms defined elsewhere herein, the following terms have the following meanings when used in this Agreement with initial capital letters:</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right="320" w:firstLine="921"/>
        <w:spacing w:after="0" w:line="259" w:lineRule="auto"/>
        <w:tabs>
          <w:tab w:leader="none" w:pos="11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(i) Executive’s gross negligence or willful misconduct in the performance of his duties to the Company where such gross negligence or willful misconduct has resulted or is likely to result in material damage to the Company or its subsidiaries; (ii) Executive’s willful and habitual neglect of his or her duties of consulting or</w:t>
      </w:r>
    </w:p>
    <w:p>
      <w:pPr>
        <w:sectPr>
          <w:pgSz w:w="11900" w:h="16838" w:orient="portrait"/>
          <w:cols w:equalWidth="0" w:num="1">
            <w:col w:w="11420"/>
          </w:cols>
          <w:pgMar w:left="240" w:top="125" w:right="239" w:bottom="1440" w:gutter="0" w:footer="0" w:header="0"/>
        </w:sectPr>
      </w:pPr>
    </w:p>
    <w:bookmarkStart w:id="125" w:name="page126"/>
    <w:bookmarkEnd w:id="12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employment; (iii) Executive’s commission of any act of fraud with respect to the Company; (iv) Executive’s conviction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felony criminal conduct or any crime involving moral turpitude; or (v) Executive’s violation of any noncompetition or confidentiality agreement that Executive has entered into with the Company.</w:t>
      </w:r>
    </w:p>
    <w:p>
      <w:pPr>
        <w:spacing w:after="0" w:line="140" w:lineRule="exact"/>
        <w:rPr>
          <w:sz w:val="20"/>
          <w:szCs w:val="20"/>
          <w:color w:val="auto"/>
        </w:rPr>
      </w:pPr>
    </w:p>
    <w:p>
      <w:pPr>
        <w:ind w:firstLine="921"/>
        <w:spacing w:after="0" w:line="287" w:lineRule="auto"/>
        <w:tabs>
          <w:tab w:leader="none" w:pos="1152"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shall mean: (i) the liquidation, dissolution or winding up of the Company; (ii) any consolidation or merger of the Company with or into any other corporation or other entity or person, or any other corporate reorganization in which the Company’s stockholders immediately prior to such transaction do not hold more than fifty percent (50%) of the voting power of the surviving or acquiring entity (or its parent) immediately following such transaction (taking into account only voting power resulting from stock held by such stockholders prior to such transaction); (iii) any transaction or series of related transactions to which the Company is a party in which in excess of fifty percent (50%) of the Company’s voting power outstanding before such transaction is transferred or (iv) 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Change in Control shall not include (A) a merger or consolidation with a wholly-owned subsidiary of the Company, (B) a merger effected exclusively for the purpose of changing the domicile of the Company or (C) any transaction or series of related transactions principally for bona fide equity financing purposes.</w:t>
      </w:r>
    </w:p>
    <w:p>
      <w:pPr>
        <w:spacing w:after="0" w:line="122" w:lineRule="exact"/>
        <w:rPr>
          <w:rFonts w:ascii="Arial" w:cs="Arial" w:eastAsia="Arial" w:hAnsi="Arial"/>
          <w:sz w:val="16"/>
          <w:szCs w:val="16"/>
          <w:color w:val="auto"/>
        </w:rPr>
      </w:pPr>
    </w:p>
    <w:p>
      <w:pPr>
        <w:ind w:right="60" w:firstLine="921"/>
        <w:spacing w:after="0" w:line="288" w:lineRule="auto"/>
        <w:tabs>
          <w:tab w:leader="none" w:pos="1162" w:val="left"/>
        </w:tabs>
        <w:numPr>
          <w:ilvl w:val="1"/>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any of the following events which Executive provides written notice to the Company of within 90 days of such event having occurred and which is not cured by the Company within 30 days after such written notice thereof is provided to the Company by Executive: (i) any reduction of Executive’s base salary or target annual bonus; (ii) any involuntary relocation of Executive’s principal workplace to a location more than 35 miles in any direction from Executive’s current principal workplace, (iii) a substantial and material adverse change, without Executive’s written consent, in Executive’s title, authority, responsibility or duties; or (iv) any material breach by the Company of any provision of this Agreement or any other employment agreement, after written notice delivered to the Company of such breach and the Company’s failure to cure such breach; </w:t>
      </w:r>
      <w:r>
        <w:rPr>
          <w:rFonts w:ascii="Arial" w:cs="Arial" w:eastAsia="Arial" w:hAnsi="Arial"/>
          <w:sz w:val="16"/>
          <w:szCs w:val="16"/>
          <w:i w:val="1"/>
          <w:iCs w:val="1"/>
          <w:color w:val="auto"/>
        </w:rPr>
        <w:t>provided, however</w:t>
      </w:r>
      <w:r>
        <w:rPr>
          <w:rFonts w:ascii="Arial" w:cs="Arial" w:eastAsia="Arial" w:hAnsi="Arial"/>
          <w:sz w:val="16"/>
          <w:szCs w:val="16"/>
          <w:color w:val="auto"/>
        </w:rPr>
        <w:t>, in the context of a Change in Control, Executive shall not have Good Reason to resign in connection with a reorganization of the Company in which the executive would retain substantially similar title, authority, duties, base pay and bonus but might have greater or lesser reporting responsibilities. In order to constitute a termination of employment for Good Reason, Executive’s employment must be terminated no later than 180 days following the initial occurrence of any events set forth above.</w:t>
      </w:r>
    </w:p>
    <w:p>
      <w:pPr>
        <w:spacing w:after="0" w:line="119" w:lineRule="exact"/>
        <w:rPr>
          <w:rFonts w:ascii="Arial" w:cs="Arial" w:eastAsia="Arial" w:hAnsi="Arial"/>
          <w:sz w:val="16"/>
          <w:szCs w:val="16"/>
          <w:color w:val="auto"/>
        </w:rPr>
      </w:pPr>
    </w:p>
    <w:p>
      <w:pPr>
        <w:ind w:right="520" w:firstLine="464"/>
        <w:spacing w:after="0" w:line="268"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Terminations Without Cause or for Good Reason</w:t>
      </w:r>
      <w:r>
        <w:rPr>
          <w:rFonts w:ascii="Arial" w:cs="Arial" w:eastAsia="Arial" w:hAnsi="Arial"/>
          <w:sz w:val="18"/>
          <w:szCs w:val="18"/>
          <w:color w:val="auto"/>
        </w:rPr>
        <w:t>. If Executive’s employment shall terminate involuntarily without Cause or for Good Reason, the Company shall provide Executive with severance payments and benefits pursuant to this Section 2.</w:t>
      </w:r>
    </w:p>
    <w:p>
      <w:pPr>
        <w:spacing w:after="0" w:line="50" w:lineRule="exact"/>
        <w:rPr>
          <w:rFonts w:ascii="Arial" w:cs="Arial" w:eastAsia="Arial" w:hAnsi="Arial"/>
          <w:sz w:val="18"/>
          <w:szCs w:val="18"/>
          <w:color w:val="auto"/>
        </w:rPr>
      </w:pPr>
    </w:p>
    <w:p>
      <w:pPr>
        <w:ind w:right="80" w:firstLine="921"/>
        <w:spacing w:after="0" w:line="256" w:lineRule="auto"/>
        <w:tabs>
          <w:tab w:leader="none" w:pos="1152"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Terminations Not in Connection with a Change In Control</w:t>
      </w:r>
      <w:r>
        <w:rPr>
          <w:rFonts w:ascii="Arial" w:cs="Arial" w:eastAsia="Arial" w:hAnsi="Arial"/>
          <w:sz w:val="18"/>
          <w:szCs w:val="18"/>
          <w:color w:val="auto"/>
        </w:rPr>
        <w:t>. If Executive’s employment shall terminate involuntarily without Cause or for Good Reason, prior to a Change in Control or more than eighteen (18) months following a Change in Control, the Company shall provide Executive with the following severance payments and benefits in lieu of any severance benefits to which the Executive may otherwise be entitled to under any severance plan or program maintained by the Company:</w:t>
      </w:r>
    </w:p>
    <w:p>
      <w:pPr>
        <w:spacing w:after="0" w:line="62" w:lineRule="exact"/>
        <w:rPr>
          <w:rFonts w:ascii="Arial" w:cs="Arial" w:eastAsia="Arial" w:hAnsi="Arial"/>
          <w:sz w:val="18"/>
          <w:szCs w:val="18"/>
          <w:color w:val="auto"/>
        </w:rPr>
      </w:pPr>
    </w:p>
    <w:p>
      <w:pPr>
        <w:ind w:left="460" w:right="200" w:firstLine="881"/>
        <w:spacing w:after="0" w:line="298" w:lineRule="auto"/>
        <w:tabs>
          <w:tab w:leader="none" w:pos="1546" w:val="left"/>
        </w:tabs>
        <w:numPr>
          <w:ilvl w:val="2"/>
          <w:numId w:val="74"/>
        </w:numPr>
        <w:rPr>
          <w:rFonts w:ascii="Arial" w:cs="Arial" w:eastAsia="Arial" w:hAnsi="Arial"/>
          <w:sz w:val="16"/>
          <w:szCs w:val="16"/>
          <w:color w:val="auto"/>
        </w:rPr>
      </w:pPr>
      <w:r>
        <w:rPr>
          <w:rFonts w:ascii="Arial" w:cs="Arial" w:eastAsia="Arial" w:hAnsi="Arial"/>
          <w:sz w:val="16"/>
          <w:szCs w:val="16"/>
          <w:u w:val="single" w:color="auto"/>
          <w:color w:val="auto"/>
        </w:rPr>
        <w:t>Severance Payments</w:t>
      </w:r>
      <w:r>
        <w:rPr>
          <w:rFonts w:ascii="Arial" w:cs="Arial" w:eastAsia="Arial" w:hAnsi="Arial"/>
          <w:sz w:val="16"/>
          <w:szCs w:val="16"/>
          <w:color w:val="auto"/>
        </w:rPr>
        <w:t>: Pay to Executive an amount equal to twelve (12) months then current base salary, payable in substantially equal installments in accordance with the Company’s customary payroll practices and procedures. The continuation of your base salary shall be paid beginning on the sixtieth (60th) day following the date of termination, all payments deferred pursuant to this sentence shall be paid in a lump sum to Executive and any remaining payments due under this paragraph shall be paid as otherwise provided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6" w:name="page127"/>
    <w:bookmarkEnd w:id="126"/>
    <w:p>
      <w:pPr>
        <w:ind w:left="440" w:right="20" w:firstLine="881"/>
        <w:spacing w:after="0" w:line="255" w:lineRule="auto"/>
        <w:tabs>
          <w:tab w:leader="none" w:pos="1575"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Benefits</w:t>
      </w:r>
      <w:r>
        <w:rPr>
          <w:rFonts w:ascii="Arial" w:cs="Arial" w:eastAsia="Arial" w:hAnsi="Arial"/>
          <w:sz w:val="18"/>
          <w:szCs w:val="18"/>
          <w:color w:val="auto"/>
        </w:rPr>
        <w:t>. If Executive elects to continue his health insurance coverage under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following such termination, then the Company shall pay Executive’s monthly COBRA premium for continued health insurance coverage for Executive and Executive’s eligible dependents until the earlier of (i) twelve (12) months following the termination date, or (ii) the date upon which Executive and his eligible dependents become eligible for comparable coverage under a group health insurance plan maintained by subsequent employer.</w:t>
      </w:r>
    </w:p>
    <w:p>
      <w:pPr>
        <w:spacing w:after="0" w:line="142" w:lineRule="exact"/>
        <w:rPr>
          <w:rFonts w:ascii="Arial" w:cs="Arial" w:eastAsia="Arial" w:hAnsi="Arial"/>
          <w:sz w:val="18"/>
          <w:szCs w:val="18"/>
          <w:color w:val="auto"/>
        </w:rPr>
      </w:pPr>
    </w:p>
    <w:p>
      <w:pPr>
        <w:ind w:left="-20" w:right="40" w:firstLine="921"/>
        <w:spacing w:after="0" w:line="306" w:lineRule="auto"/>
        <w:tabs>
          <w:tab w:leader="none" w:pos="114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Terminations in Connection with a Change In Control</w:t>
      </w:r>
      <w:r>
        <w:rPr>
          <w:rFonts w:ascii="Arial" w:cs="Arial" w:eastAsia="Arial" w:hAnsi="Arial"/>
          <w:sz w:val="16"/>
          <w:szCs w:val="16"/>
          <w:color w:val="auto"/>
        </w:rPr>
        <w:t>. If Executive’s employment shall terminate involuntarily without Cause or for Good Reason, within eighteen (18) months following a Change in Control, the Company shall provide Executive with the following severance payments and benefits in lieu of any severance benefits to which the Executive may otherwise be entitled to under any severance plan or program maintained by the Company:</w:t>
      </w:r>
    </w:p>
    <w:p>
      <w:pPr>
        <w:spacing w:after="0" w:line="25" w:lineRule="exact"/>
        <w:rPr>
          <w:rFonts w:ascii="Arial" w:cs="Arial" w:eastAsia="Arial" w:hAnsi="Arial"/>
          <w:sz w:val="16"/>
          <w:szCs w:val="16"/>
          <w:color w:val="auto"/>
        </w:rPr>
      </w:pPr>
    </w:p>
    <w:p>
      <w:pPr>
        <w:ind w:left="440" w:right="500" w:firstLine="881"/>
        <w:spacing w:after="0" w:line="268" w:lineRule="auto"/>
        <w:tabs>
          <w:tab w:leader="none" w:pos="1526"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Severance Payments</w:t>
      </w:r>
      <w:r>
        <w:rPr>
          <w:rFonts w:ascii="Arial" w:cs="Arial" w:eastAsia="Arial" w:hAnsi="Arial"/>
          <w:sz w:val="18"/>
          <w:szCs w:val="18"/>
          <w:color w:val="auto"/>
        </w:rPr>
        <w:t>: Pay to Executive an amount equal to twelve (12) months then current base salary, payable in a lump sum on the sixtieth (60th) day following the termination of employment.</w:t>
      </w:r>
    </w:p>
    <w:p>
      <w:pPr>
        <w:spacing w:after="0" w:line="132" w:lineRule="exact"/>
        <w:rPr>
          <w:sz w:val="20"/>
          <w:szCs w:val="20"/>
          <w:color w:val="auto"/>
        </w:rPr>
      </w:pPr>
    </w:p>
    <w:p>
      <w:pPr>
        <w:ind w:left="440" w:firstLine="881"/>
        <w:spacing w:after="0" w:line="298" w:lineRule="auto"/>
        <w:tabs>
          <w:tab w:leader="none" w:pos="157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Continued Benefits</w:t>
      </w:r>
      <w:r>
        <w:rPr>
          <w:rFonts w:ascii="Arial" w:cs="Arial" w:eastAsia="Arial" w:hAnsi="Arial"/>
          <w:sz w:val="16"/>
          <w:szCs w:val="16"/>
          <w:color w:val="auto"/>
        </w:rPr>
        <w:t>. If Executive elects to continue his health insurance coverage under COBRA following such termination, then the Company shall pay Executive’s monthly COBRA premium for continued health insurance coverage for Executive and Executive’s eligible dependents until the earlier of (i) twelve (12) months following the termination date, or (ii) the date upon which Executive and his eligible dependents become eligible for comparable coverage under a group health insurance plan maintained by subsequent employer.</w:t>
      </w:r>
    </w:p>
    <w:p>
      <w:pPr>
        <w:spacing w:after="0" w:line="112" w:lineRule="exact"/>
        <w:rPr>
          <w:rFonts w:ascii="Arial" w:cs="Arial" w:eastAsia="Arial" w:hAnsi="Arial"/>
          <w:sz w:val="16"/>
          <w:szCs w:val="16"/>
          <w:color w:val="auto"/>
        </w:rPr>
      </w:pPr>
    </w:p>
    <w:p>
      <w:pPr>
        <w:ind w:left="440" w:right="100" w:firstLine="881"/>
        <w:spacing w:after="0" w:line="294" w:lineRule="auto"/>
        <w:tabs>
          <w:tab w:leader="none" w:pos="1623"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Notwithstanding any provision to the contrary in any equity award agreement or equity compensation plan, the Company shall cause all outstanding equity awards then held by Executive (including, without limitation, stock options, stock appreciation rights, phantom shares, restricted stock or similar awards) to become fully vested and, if applicable, exercisable with respect to all the shares subject thereto effective immediately prior to the date of termination. In all other respects, such awards will continue to be subject to the terms and conditions of the plans, if any, under which they were granted and any applicable agreements between the Company and Executive.</w:t>
      </w:r>
    </w:p>
    <w:p>
      <w:pPr>
        <w:spacing w:after="0" w:line="116" w:lineRule="exact"/>
        <w:rPr>
          <w:sz w:val="20"/>
          <w:szCs w:val="20"/>
          <w:color w:val="auto"/>
        </w:rPr>
      </w:pPr>
    </w:p>
    <w:p>
      <w:pPr>
        <w:ind w:left="-20" w:firstLine="921"/>
        <w:spacing w:after="0" w:line="268" w:lineRule="auto"/>
        <w:tabs>
          <w:tab w:leader="none" w:pos="11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 in the event that the Company, or its successor, requests Executive to continue to serve in the same position following a Change in Control for a six (6)-month (or shorter) transition period (“</w:t>
      </w:r>
      <w:r>
        <w:rPr>
          <w:rFonts w:ascii="Arial" w:cs="Arial" w:eastAsia="Arial" w:hAnsi="Arial"/>
          <w:sz w:val="18"/>
          <w:szCs w:val="18"/>
          <w:u w:val="single" w:color="auto"/>
          <w:color w:val="auto"/>
        </w:rPr>
        <w:t>Transition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27" w:name="page128"/>
    <w:bookmarkEnd w:id="127"/>
    <w:p>
      <w:pPr>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w:t>
      </w:r>
      <w:r>
        <w:rPr>
          <w:rFonts w:ascii="Arial" w:cs="Arial" w:eastAsia="Arial" w:hAnsi="Arial"/>
          <w:sz w:val="18"/>
          <w:szCs w:val="18"/>
          <w:color w:val="auto"/>
        </w:rPr>
        <w:t>”), Executive shall not have Good Reason to resign pursuant to Section 1(d)(iii) during such Transition Period regardless if Executive’s title, authority, responsibility or duties have been materially reduced; provided that during such Transition Period Executive continues to be paid the same salary and be provided with the same bonus opportunity, if any, as in effect immediately prior to such Change in Control and Executive’s principal workplace is not relocated more than 35 miles from its location immediately prior to such Change in Control. Following the Transition Period, Executive may resign for Good Reason pursuant to Section 1(d)(iii) and be entitled to the benefits set forth in Section 2(b).</w:t>
      </w:r>
    </w:p>
    <w:p>
      <w:pPr>
        <w:spacing w:after="0" w:line="143" w:lineRule="exact"/>
        <w:rPr>
          <w:sz w:val="20"/>
          <w:szCs w:val="20"/>
          <w:color w:val="auto"/>
        </w:rPr>
      </w:pPr>
    </w:p>
    <w:p>
      <w:pPr>
        <w:ind w:left="640" w:hanging="176"/>
        <w:spacing w:after="0"/>
        <w:tabs>
          <w:tab w:leader="none" w:pos="64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921"/>
        <w:spacing w:after="0" w:line="306" w:lineRule="auto"/>
        <w:tabs>
          <w:tab w:leader="none" w:pos="1152"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Release of Claims</w:t>
      </w:r>
      <w:r>
        <w:rPr>
          <w:rFonts w:ascii="Arial" w:cs="Arial" w:eastAsia="Arial" w:hAnsi="Arial"/>
          <w:sz w:val="16"/>
          <w:szCs w:val="16"/>
          <w:color w:val="auto"/>
        </w:rPr>
        <w:t>. The receipt of any severance pursuant to Section 2 will be subject to Executive signing and not revoking a separation agreement and release of claims in a form reasonably acceptable to the Company within sixty (60) days following Executive’s termination of employment</w:t>
      </w:r>
      <w:r>
        <w:rPr>
          <w:rFonts w:ascii="Arial" w:cs="Arial" w:eastAsia="Arial" w:hAnsi="Arial"/>
          <w:sz w:val="16"/>
          <w:szCs w:val="16"/>
          <w:b w:val="1"/>
          <w:bCs w:val="1"/>
          <w:color w:val="auto"/>
        </w:rPr>
        <w:t>.</w:t>
      </w:r>
      <w:r>
        <w:rPr>
          <w:rFonts w:ascii="Arial" w:cs="Arial" w:eastAsia="Arial" w:hAnsi="Arial"/>
          <w:sz w:val="16"/>
          <w:szCs w:val="16"/>
          <w:color w:val="auto"/>
        </w:rPr>
        <w:t xml:space="preserve"> No severance pursuant to Section 2 will be paid or provided until the separation agreement and release of claims becomes effective.</w:t>
      </w:r>
    </w:p>
    <w:p>
      <w:pPr>
        <w:spacing w:after="0" w:line="106" w:lineRule="exact"/>
        <w:rPr>
          <w:rFonts w:ascii="Arial" w:cs="Arial" w:eastAsia="Arial" w:hAnsi="Arial"/>
          <w:sz w:val="16"/>
          <w:szCs w:val="16"/>
          <w:color w:val="auto"/>
        </w:rPr>
      </w:pPr>
    </w:p>
    <w:p>
      <w:pPr>
        <w:ind w:right="160" w:firstLine="921"/>
        <w:spacing w:after="0" w:line="283" w:lineRule="auto"/>
        <w:tabs>
          <w:tab w:leader="none" w:pos="1161"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contained in this Agreement to the contrary, to the maximum extent permitted by applicable law, amounts payable to Executive pursuant to Section 2 shall be made in reliance upon Treas. Reg. Section 1.409A-1(b)(9) (Separation Pay Plans) or Treas. Reg. Section 1.409A-1(b)(4) (Short-Term Deferrals). For this purpose each installment or monthly payment to which Executive is entitled under Section 2 shall be considered a separate and distinct payment. In addition, (i) no amount deemed deferred compensation subject to Section 409A shall be payable pursuant to Section 2 unless the Executive’s termination of employment constitutes a “separation from service” within the meaning of Treas. Reg. Section 1.409A-1(h) and</w:t>
      </w:r>
    </w:p>
    <w:p>
      <w:pPr>
        <w:spacing w:after="0" w:line="2" w:lineRule="exact"/>
        <w:rPr>
          <w:rFonts w:ascii="Arial" w:cs="Arial" w:eastAsia="Arial" w:hAnsi="Arial"/>
          <w:sz w:val="16"/>
          <w:szCs w:val="16"/>
          <w:color w:val="auto"/>
        </w:rPr>
      </w:pPr>
    </w:p>
    <w:p>
      <w:pPr>
        <w:ind w:firstLine="8"/>
        <w:spacing w:after="0" w:line="286" w:lineRule="auto"/>
        <w:tabs>
          <w:tab w:leader="none" w:pos="258"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Executive is deemed at the time of his separation from service to be a “specified employee” for purposes of Section 409A(a)(2)(B)(i) of the Code, then to the extent delayed commencement of any portion of the termination benefits to which Executive is entitled under this Agreement is required in order to avoid a prohibited distribution under Section 409A(a)(2)(B)(i) of the Code, such portion of Executive’s termination benefits shall not be provided to Executive prior to the earlier of (A) the expiration of the six-month period measured from the date of the Executive’s “separation from service” with the Company (as such term is defined in the Treasury Regulations issued under Section 409A of the Code) or (B) the date of Executive’s death. Upon the earlier of such dates, all payments deferred pursuant to this Section 3(b) shall be paid in a lump sum to Executive, and any remaining payments due under the Agreement shall be paid as otherwise provided herein. The determination of whether Executive is a “specified employee” for purposes of Section 409A(a)(2)(B)(i) of the Code as of the time of his separation from service shall be made by the Company in accordance with the terms of Section 409A of the Code and applicable guidance thereunder (including without limitation Treas. Reg. Section 1.409A-1(i) and any successor provision thereto). The reimbursement of any expense under this Agreement shall be made no later than December 31 of the year following the year in which the expense was incurred. The amount of expenses reimbursed in one year shall not affect the amount eligible for reimbursement in any subsequent year.</w:t>
      </w:r>
    </w:p>
    <w:p>
      <w:pPr>
        <w:spacing w:after="0" w:line="120" w:lineRule="exact"/>
        <w:rPr>
          <w:rFonts w:ascii="Arial" w:cs="Arial" w:eastAsia="Arial" w:hAnsi="Arial"/>
          <w:sz w:val="16"/>
          <w:szCs w:val="16"/>
          <w:color w:val="auto"/>
        </w:rPr>
      </w:pPr>
    </w:p>
    <w:p>
      <w:pPr>
        <w:ind w:right="820" w:firstLine="464"/>
        <w:spacing w:after="0" w:line="332" w:lineRule="auto"/>
        <w:tabs>
          <w:tab w:leader="none" w:pos="632"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Successors and Binding Agreement</w:t>
      </w:r>
      <w:r>
        <w:rPr>
          <w:rFonts w:ascii="Arial" w:cs="Arial" w:eastAsia="Arial" w:hAnsi="Arial"/>
          <w:sz w:val="16"/>
          <w:szCs w:val="16"/>
          <w:color w:val="auto"/>
        </w:rPr>
        <w:t>. The Company will require any successor (whether direct or indirect, by purchase, merger, consolidation, reorganization or otherwise, including, without limitation, any successor due to a Change in Control) to the business or assets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28" w:name="page129"/>
    <w:bookmarkEnd w:id="128"/>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 by agreement in form and substance reasonably satisfactory to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directly or indirectly acquiring the business or assets of the Company in a transaction constituting a Change in Control (and such successor shall thereafter be deemed the “Company” for the purpose of this Agreement), but will not otherwise be assignable, transferable or delegable by the Company.</w:t>
      </w:r>
    </w:p>
    <w:p>
      <w:pPr>
        <w:spacing w:after="0" w:line="116" w:lineRule="exact"/>
        <w:rPr>
          <w:sz w:val="20"/>
          <w:szCs w:val="20"/>
          <w:color w:val="auto"/>
        </w:rPr>
      </w:pPr>
    </w:p>
    <w:p>
      <w:pPr>
        <w:ind w:right="580" w:firstLine="921"/>
        <w:spacing w:after="0" w:line="268" w:lineRule="auto"/>
        <w:tabs>
          <w:tab w:leader="none" w:pos="116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enforceable by Executive’s personal or legal representatives, executors, administrators, successors, heirs, distributees and legatees.</w:t>
      </w:r>
    </w:p>
    <w:p>
      <w:pPr>
        <w:spacing w:after="0" w:line="131" w:lineRule="exact"/>
        <w:rPr>
          <w:rFonts w:ascii="Arial" w:cs="Arial" w:eastAsia="Arial" w:hAnsi="Arial"/>
          <w:sz w:val="18"/>
          <w:szCs w:val="18"/>
          <w:color w:val="auto"/>
        </w:rPr>
      </w:pPr>
    </w:p>
    <w:p>
      <w:pPr>
        <w:ind w:firstLine="921"/>
        <w:spacing w:after="0" w:line="294" w:lineRule="auto"/>
        <w:tabs>
          <w:tab w:leader="none" w:pos="1152"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consent of the other, assign, transfer or delegate this Agreement or any rights or obligations hereunder except as expressly provided in Sections 4(a) and 4(b). Without limiting the generality or effect of the foregoing,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4(c), the Company shall have no liability to pay any amount so attempted to be assigned, transferred or delegated.</w:t>
      </w:r>
    </w:p>
    <w:p>
      <w:pPr>
        <w:spacing w:after="0" w:line="115" w:lineRule="exact"/>
        <w:rPr>
          <w:rFonts w:ascii="Arial" w:cs="Arial" w:eastAsia="Arial" w:hAnsi="Arial"/>
          <w:sz w:val="16"/>
          <w:szCs w:val="16"/>
          <w:color w:val="auto"/>
        </w:rPr>
      </w:pPr>
    </w:p>
    <w:p>
      <w:pPr>
        <w:ind w:right="200" w:firstLine="464"/>
        <w:spacing w:after="0" w:line="259"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Agreement</w:t>
      </w:r>
      <w:r>
        <w:rPr>
          <w:rFonts w:ascii="Arial" w:cs="Arial" w:eastAsia="Arial" w:hAnsi="Arial"/>
          <w:sz w:val="18"/>
          <w:szCs w:val="18"/>
          <w:color w:val="auto"/>
        </w:rPr>
        <w:t>. This Agreement may be changed or terminated only upon the mutual written consent of the Company and Executive. The written consent of the Company to a change or termination of this Agreement must be signed by an executive officer of the Company after such change or termination has been approved by the Board.</w:t>
      </w:r>
    </w:p>
    <w:p>
      <w:pPr>
        <w:spacing w:after="0" w:line="140" w:lineRule="exact"/>
        <w:rPr>
          <w:rFonts w:ascii="Arial" w:cs="Arial" w:eastAsia="Arial" w:hAnsi="Arial"/>
          <w:sz w:val="18"/>
          <w:szCs w:val="18"/>
          <w:color w:val="auto"/>
        </w:rPr>
      </w:pPr>
    </w:p>
    <w:p>
      <w:pPr>
        <w:ind w:right="60" w:firstLine="464"/>
        <w:spacing w:after="0" w:line="253"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UPS, or DHL, addressed to the Company (to the attention of the Secretary of the Company) at its principal executive office and to Executive at his principal residence, or to such other address as any party may have furnished to the other in writing and in accordance herewith, except that notices of changes of address shall be effective only upon receipt.</w:t>
      </w:r>
    </w:p>
    <w:p>
      <w:pPr>
        <w:spacing w:after="0" w:line="147" w:lineRule="exact"/>
        <w:rPr>
          <w:rFonts w:ascii="Arial" w:cs="Arial" w:eastAsia="Arial" w:hAnsi="Arial"/>
          <w:sz w:val="18"/>
          <w:szCs w:val="18"/>
          <w:color w:val="auto"/>
        </w:rPr>
      </w:pPr>
    </w:p>
    <w:p>
      <w:pPr>
        <w:ind w:right="20" w:firstLine="464"/>
        <w:spacing w:after="0" w:line="256"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9" w:name="page130"/>
    <w:bookmarkEnd w:id="129"/>
    <w:p>
      <w:pPr>
        <w:ind w:left="-20" w:right="20" w:firstLine="464"/>
        <w:spacing w:after="0" w:line="298" w:lineRule="auto"/>
        <w:tabs>
          <w:tab w:leader="none" w:pos="612"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Jurisdiction</w:t>
      </w:r>
      <w:r>
        <w:rPr>
          <w:rFonts w:ascii="Arial" w:cs="Arial" w:eastAsia="Arial" w:hAnsi="Arial"/>
          <w:sz w:val="16"/>
          <w:szCs w:val="16"/>
          <w:color w:val="auto"/>
        </w:rPr>
        <w:t>. The laws of the state of California shall govern the interpretation, validity and performance of the terms of this Agreement, regardless of the law that might be applied under principles of conflicts of law. Any suit, action or proceeding against Executive, with respect to this Agreement, or any judgment entered by any court in respect of any of such, may be brought in any court of competent jurisdiction in the State of California, and Executive hereby submits to the jurisdiction of such courts for the purpose of any such suit, action, proceeding or judgment.</w:t>
      </w:r>
    </w:p>
    <w:p>
      <w:pPr>
        <w:spacing w:after="0" w:line="112" w:lineRule="exact"/>
        <w:rPr>
          <w:rFonts w:ascii="Arial" w:cs="Arial" w:eastAsia="Arial" w:hAnsi="Arial"/>
          <w:sz w:val="16"/>
          <w:szCs w:val="16"/>
          <w:color w:val="auto"/>
        </w:rPr>
      </w:pPr>
    </w:p>
    <w:p>
      <w:pPr>
        <w:ind w:left="-20" w:firstLine="464"/>
        <w:spacing w:after="0" w:line="253" w:lineRule="auto"/>
        <w:tabs>
          <w:tab w:leader="none" w:pos="61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 of this Agreement may be modified, waived or discharged unless such waiver, modification or discharge is agreed to in writing signed by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This Agreement constitutes the entire agreement of the parties with respect to the subject matter hereof and supersedes any and all prior agreements of the parties with respect to such subject matter. No agreements or representations, oral or otherwise, expressed or implied with respect to the subject matter hereof have been made by either party which are not set forth expressly in this Agreement. References to Sections are to references to Sections of this Agreement.</w:t>
      </w:r>
    </w:p>
    <w:p>
      <w:pPr>
        <w:spacing w:after="0" w:line="147" w:lineRule="exact"/>
        <w:rPr>
          <w:rFonts w:ascii="Arial" w:cs="Arial" w:eastAsia="Arial" w:hAnsi="Arial"/>
          <w:sz w:val="18"/>
          <w:szCs w:val="18"/>
          <w:color w:val="auto"/>
        </w:rPr>
      </w:pPr>
    </w:p>
    <w:p>
      <w:pPr>
        <w:ind w:left="-20" w:right="140" w:firstLine="464"/>
        <w:spacing w:after="0" w:line="268"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31" w:lineRule="exact"/>
        <w:rPr>
          <w:rFonts w:ascii="Arial" w:cs="Arial" w:eastAsia="Arial" w:hAnsi="Arial"/>
          <w:sz w:val="18"/>
          <w:szCs w:val="18"/>
          <w:color w:val="auto"/>
        </w:rPr>
      </w:pPr>
    </w:p>
    <w:p>
      <w:pPr>
        <w:ind w:left="-20" w:right="20" w:firstLine="464"/>
        <w:spacing w:after="0" w:line="290" w:lineRule="auto"/>
        <w:tabs>
          <w:tab w:leader="none" w:pos="69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xml:space="preserve">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would otherwise be taxable to Executive under Section 409A, the Company may adopt such limited amendments to this Agreement and appropriate policies and procedures, including amendments and policies with retroactive effect, that the Company reasonably determines are necessary or appropriate to comply with the requirements of Section 409A and thereby avoid the application of taxes under such Section.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and delivered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CORCEPT THERAPEUTICS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James 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of the Board of Directors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Joseph K. Belanoff, MD</w:t>
      </w:r>
    </w:p>
    <w:p>
      <w:pPr>
        <w:sectPr>
          <w:pgSz w:w="11900" w:h="16838" w:orient="portrait"/>
          <w:cols w:equalWidth="0" w:num="1">
            <w:col w:w="9900"/>
          </w:cols>
          <w:pgMar w:left="700" w:top="280" w:right="12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AND CHANGE IN CONTROL AGREEMENT</w:t>
      </w:r>
    </w:p>
    <w:p>
      <w:pPr>
        <w:spacing w:after="0" w:line="171"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THIS AMENDED AND RESTATED SEVERANCE AND CHANGE IN CONTROL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19</w:t>
      </w:r>
      <w:r>
        <w:rPr>
          <w:rFonts w:ascii="Arial" w:cs="Arial" w:eastAsia="Arial" w:hAnsi="Arial"/>
          <w:sz w:val="18"/>
          <w:szCs w:val="18"/>
          <w:b w:val="1"/>
          <w:bCs w:val="1"/>
          <w:color w:val="auto"/>
        </w:rPr>
        <w:t xml:space="preserve">, </w:t>
      </w:r>
      <w:r>
        <w:rPr>
          <w:rFonts w:ascii="Arial" w:cs="Arial" w:eastAsia="Arial" w:hAnsi="Arial"/>
          <w:sz w:val="18"/>
          <w:szCs w:val="18"/>
          <w:color w:val="auto"/>
        </w:rPr>
        <w:t>2008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Robert L. Roe, MD, President (“</w:t>
      </w:r>
      <w:r>
        <w:rPr>
          <w:rFonts w:ascii="Arial" w:cs="Arial" w:eastAsia="Arial" w:hAnsi="Arial"/>
          <w:sz w:val="18"/>
          <w:szCs w:val="18"/>
          <w:u w:val="single" w:color="auto"/>
          <w:color w:val="auto"/>
        </w:rPr>
        <w:t>Executive</w:t>
      </w:r>
      <w:r>
        <w:rPr>
          <w:rFonts w:ascii="Arial" w:cs="Arial" w:eastAsia="Arial" w:hAnsi="Arial"/>
          <w:sz w:val="18"/>
          <w:szCs w:val="18"/>
          <w:color w:val="auto"/>
        </w:rPr>
        <w:t>”) and Corcept Therapeutics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the Company and Executive desire to amend and restate that certain Severance and Change in Control Agreement, dated as of July 24, 2007, in order to reflect certain recent changes affecting the taxation of deferred compensation arrangements pursuant to Section 409A of the Internal Revenue Code of 1986, as amended (the “Code”);</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Executive is a senior executive of the Company and has made and is expected to continue to make major contributions to the short and long term profitability, growth and financial strength of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recognizes that, as is the case for most publicly held companies, the possibility of a Change in Control (as defined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exists;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desires to assure itself of both present and future continuity of management;</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the Company wishes to ensure that Executive is not practically disabled from discharging his duties in respect of a proposed or actual transaction involving a Change in Control;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desires to provide additional inducement for Executive to continue to remain in the employ of the Company.</w:t>
      </w:r>
    </w:p>
    <w:p>
      <w:pPr>
        <w:spacing w:after="0" w:line="194"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exchange for good and valuable consideration, the receipt and sufficiency of which is hereby acknowledged, the Company and Executive agree as follows:</w:t>
      </w:r>
    </w:p>
    <w:p>
      <w:pPr>
        <w:spacing w:after="0" w:line="51" w:lineRule="exact"/>
        <w:rPr>
          <w:sz w:val="20"/>
          <w:szCs w:val="20"/>
          <w:color w:val="auto"/>
        </w:rPr>
      </w:pPr>
    </w:p>
    <w:p>
      <w:pPr>
        <w:ind w:right="280" w:firstLine="464"/>
        <w:spacing w:after="0" w:line="268"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In addition to terms defined elsewhere herein, the following terms have the following meanings when used in this Agreement with initial capital letters:</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right="320" w:firstLine="921"/>
        <w:spacing w:after="0" w:line="294" w:lineRule="auto"/>
        <w:tabs>
          <w:tab w:leader="none" w:pos="1162"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Executive’s gross negligence or willful misconduct in the performance of his duties to the Company where such gross negligence or willful misconduct has resulted or is likely to result in material damage to the Company or its subsidiaries; (ii) Executive’s willful and habitual neglect of his or her duties of consulting or employment; (iii) Executive’s commission of any act of fraud with respect to the Company; (iv) Executive’s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felony criminal conduct or any crime involving moral turpitude; or (v) Executive’s violation of any noncompetition or confidentiality agreement that Executive has entered into with the Company.</w:t>
      </w:r>
    </w:p>
    <w:p>
      <w:pPr>
        <w:sectPr>
          <w:pgSz w:w="11900" w:h="16838" w:orient="portrait"/>
          <w:cols w:equalWidth="0" w:num="1">
            <w:col w:w="11420"/>
          </w:cols>
          <w:pgMar w:left="240" w:top="125" w:right="239" w:bottom="1440" w:gutter="0" w:footer="0" w:header="0"/>
        </w:sectPr>
      </w:pPr>
    </w:p>
    <w:bookmarkStart w:id="132" w:name="page133"/>
    <w:bookmarkEnd w:id="132"/>
    <w:p>
      <w:pPr>
        <w:ind w:left="-20" w:firstLine="921"/>
        <w:spacing w:after="0" w:line="287" w:lineRule="auto"/>
        <w:tabs>
          <w:tab w:leader="none" w:pos="1132" w:val="left"/>
        </w:tabs>
        <w:numPr>
          <w:ilvl w:val="1"/>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w:t>
      </w: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shall mean: (i) the liquidation, dissolution or winding up of the Company; (ii) any consolidation or merger of the Company with or into any other corporation or other entity or person, or any other corporate reorganization in which the Company’s stockholders immediately prior to such transaction do not hold more than fifty percent (50%) of the voting power of the surviving or acquiring entity (or its parent) immediately following such transaction (taking into account only voting power resulting from stock held by such stockholders prior to such transaction); (iii) any transaction or series of related transactions to which the Company is a party in which in excess of fifty percent (50%) of the Company’s voting power outstanding before such transaction is transferred or (iv) 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Change in Control shall not include (A) a merger or consolidation with a wholly-owned subsidiary of the Company, (B) a merger effected exclusively for the purpose of changing the domicile of the Company or (C) any transaction or series of related transactions principally for bona fide equity financing purposes.</w:t>
      </w:r>
    </w:p>
    <w:p>
      <w:pPr>
        <w:spacing w:after="0" w:line="122" w:lineRule="exact"/>
        <w:rPr>
          <w:rFonts w:ascii="Arial" w:cs="Arial" w:eastAsia="Arial" w:hAnsi="Arial"/>
          <w:sz w:val="16"/>
          <w:szCs w:val="16"/>
          <w:color w:val="auto"/>
        </w:rPr>
      </w:pPr>
    </w:p>
    <w:p>
      <w:pPr>
        <w:ind w:left="-20" w:right="60" w:firstLine="921"/>
        <w:spacing w:after="0" w:line="288" w:lineRule="auto"/>
        <w:tabs>
          <w:tab w:leader="none" w:pos="1142" w:val="left"/>
        </w:tabs>
        <w:numPr>
          <w:ilvl w:val="1"/>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any of the following events which Executive provides written notice to the Company of within 90 days of such event having occurred and which is not cured by the Company within 30 days after such written notice thereof is provided to the Company by Executive: (i) any reduction of Executive’s base salary or target annual bonus; (ii) any involuntary relocation of Executive’s principal workplace to a location more than 35 miles in any direction from Executive’s current principal workplace, (iii) a substantial and material adverse change, without Executive’s written consent, in Executive’s title, authority, responsibility or duties; or (iv) any material breach by the Company of any provision of this Agreement or any other employment agreement, after written notice delivered to the Company of such breach and the Company’s failure to cure such breach; </w:t>
      </w:r>
      <w:r>
        <w:rPr>
          <w:rFonts w:ascii="Arial" w:cs="Arial" w:eastAsia="Arial" w:hAnsi="Arial"/>
          <w:sz w:val="16"/>
          <w:szCs w:val="16"/>
          <w:i w:val="1"/>
          <w:iCs w:val="1"/>
          <w:color w:val="auto"/>
        </w:rPr>
        <w:t>provided, however</w:t>
      </w:r>
      <w:r>
        <w:rPr>
          <w:rFonts w:ascii="Arial" w:cs="Arial" w:eastAsia="Arial" w:hAnsi="Arial"/>
          <w:sz w:val="16"/>
          <w:szCs w:val="16"/>
          <w:color w:val="auto"/>
        </w:rPr>
        <w:t>, in the context of a Change in Control, Executive shall not have Good Reason to resign in connection with a reorganization of the Company in which the executive would retain substantially similar title, authority, duties, base pay and bonus but might have greater or lesser reporting responsibilities. In order to constitute a termination of employment for Good Reason, Executive’s employment must be terminated no later than 180 days following the initial occurrence of any events set forth above.</w:t>
      </w:r>
    </w:p>
    <w:p>
      <w:pPr>
        <w:spacing w:after="0" w:line="119" w:lineRule="exact"/>
        <w:rPr>
          <w:rFonts w:ascii="Arial" w:cs="Arial" w:eastAsia="Arial" w:hAnsi="Arial"/>
          <w:sz w:val="16"/>
          <w:szCs w:val="16"/>
          <w:color w:val="auto"/>
        </w:rPr>
      </w:pPr>
    </w:p>
    <w:p>
      <w:pPr>
        <w:ind w:left="-20" w:right="520" w:firstLine="464"/>
        <w:spacing w:after="0" w:line="268" w:lineRule="auto"/>
        <w:tabs>
          <w:tab w:leader="none" w:pos="61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Terminations Without Cause or for Good Reason</w:t>
      </w:r>
      <w:r>
        <w:rPr>
          <w:rFonts w:ascii="Arial" w:cs="Arial" w:eastAsia="Arial" w:hAnsi="Arial"/>
          <w:sz w:val="18"/>
          <w:szCs w:val="18"/>
          <w:color w:val="auto"/>
        </w:rPr>
        <w:t>. If Executive’s employment shall terminate involuntarily without Cause or for Good Reason, the Company shall provide Executive with severance payments and benefits pursuant to this Section 2.</w:t>
      </w:r>
    </w:p>
    <w:p>
      <w:pPr>
        <w:spacing w:after="0" w:line="50" w:lineRule="exact"/>
        <w:rPr>
          <w:rFonts w:ascii="Arial" w:cs="Arial" w:eastAsia="Arial" w:hAnsi="Arial"/>
          <w:sz w:val="18"/>
          <w:szCs w:val="18"/>
          <w:color w:val="auto"/>
        </w:rPr>
      </w:pPr>
    </w:p>
    <w:p>
      <w:pPr>
        <w:ind w:left="-20" w:right="80" w:firstLine="921"/>
        <w:spacing w:after="0" w:line="256" w:lineRule="auto"/>
        <w:tabs>
          <w:tab w:leader="none" w:pos="113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Terminations Not in Connection with a Change In Control</w:t>
      </w:r>
      <w:r>
        <w:rPr>
          <w:rFonts w:ascii="Arial" w:cs="Arial" w:eastAsia="Arial" w:hAnsi="Arial"/>
          <w:sz w:val="18"/>
          <w:szCs w:val="18"/>
          <w:color w:val="auto"/>
        </w:rPr>
        <w:t>. If Executive’s employment shall terminate involuntarily without Cause or for Good Reason, prior to a Change in Control or more than eighteen (18) months following a Change in Control, the Company shall provide Executive with the following severance payments and benefits in lieu of any severance benefits to which the Executive may otherwise be entitled to under any severance plan or program maintained by the Company:</w:t>
      </w:r>
    </w:p>
    <w:p>
      <w:pPr>
        <w:spacing w:after="0" w:line="143" w:lineRule="exact"/>
        <w:rPr>
          <w:rFonts w:ascii="Arial" w:cs="Arial" w:eastAsia="Arial" w:hAnsi="Arial"/>
          <w:sz w:val="18"/>
          <w:szCs w:val="18"/>
          <w:color w:val="auto"/>
        </w:rPr>
      </w:pPr>
    </w:p>
    <w:p>
      <w:pPr>
        <w:ind w:left="440" w:right="200" w:firstLine="881"/>
        <w:spacing w:after="0" w:line="298" w:lineRule="auto"/>
        <w:tabs>
          <w:tab w:leader="none" w:pos="1526" w:val="left"/>
        </w:tabs>
        <w:numPr>
          <w:ilvl w:val="2"/>
          <w:numId w:val="86"/>
        </w:numPr>
        <w:rPr>
          <w:rFonts w:ascii="Arial" w:cs="Arial" w:eastAsia="Arial" w:hAnsi="Arial"/>
          <w:sz w:val="16"/>
          <w:szCs w:val="16"/>
          <w:color w:val="auto"/>
        </w:rPr>
      </w:pPr>
      <w:r>
        <w:rPr>
          <w:rFonts w:ascii="Arial" w:cs="Arial" w:eastAsia="Arial" w:hAnsi="Arial"/>
          <w:sz w:val="16"/>
          <w:szCs w:val="16"/>
          <w:u w:val="single" w:color="auto"/>
          <w:color w:val="auto"/>
        </w:rPr>
        <w:t>Severance Payments</w:t>
      </w:r>
      <w:r>
        <w:rPr>
          <w:rFonts w:ascii="Arial" w:cs="Arial" w:eastAsia="Arial" w:hAnsi="Arial"/>
          <w:sz w:val="16"/>
          <w:szCs w:val="16"/>
          <w:color w:val="auto"/>
        </w:rPr>
        <w:t>: Pay to Executive an amount equal to twelve (12) months then current base salary, payable in substantially equal installments in accordance with the Company’s customary payroll practices and procedures. The continuation of your base salary shall be paid beginning on the sixtieth (60th) day following the date of termination, all payments deferred pursuant to this sentence shall be paid in a lump sum to Executive and any remaining payments due under this paragraph shall be paid as otherwise provided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33" w:name="page134"/>
    <w:bookmarkEnd w:id="133"/>
    <w:p>
      <w:pPr>
        <w:ind w:left="440" w:right="20" w:firstLine="881"/>
        <w:spacing w:after="0" w:line="255" w:lineRule="auto"/>
        <w:tabs>
          <w:tab w:leader="none" w:pos="1575"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Benefits</w:t>
      </w:r>
      <w:r>
        <w:rPr>
          <w:rFonts w:ascii="Arial" w:cs="Arial" w:eastAsia="Arial" w:hAnsi="Arial"/>
          <w:sz w:val="18"/>
          <w:szCs w:val="18"/>
          <w:color w:val="auto"/>
        </w:rPr>
        <w:t>. If Executive elects to continue his health insurance coverage under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following such termination, then the Company shall pay Executive’s monthly COBRA premium for continued health insurance coverage for Executive and Executive’s eligible dependents until the earlier of (i) twelve (12) months following the termination date, or (ii) the date upon which Executive and his eligible dependents become eligible for comparable coverage under a group health insurance plan maintained by subsequent employer.</w:t>
      </w:r>
    </w:p>
    <w:p>
      <w:pPr>
        <w:spacing w:after="0" w:line="142" w:lineRule="exact"/>
        <w:rPr>
          <w:rFonts w:ascii="Arial" w:cs="Arial" w:eastAsia="Arial" w:hAnsi="Arial"/>
          <w:sz w:val="18"/>
          <w:szCs w:val="18"/>
          <w:color w:val="auto"/>
        </w:rPr>
      </w:pPr>
    </w:p>
    <w:p>
      <w:pPr>
        <w:ind w:left="-20" w:right="40" w:firstLine="921"/>
        <w:spacing w:after="0" w:line="306" w:lineRule="auto"/>
        <w:tabs>
          <w:tab w:leader="none" w:pos="1141"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Terminations in Connection with a Change In Control</w:t>
      </w:r>
      <w:r>
        <w:rPr>
          <w:rFonts w:ascii="Arial" w:cs="Arial" w:eastAsia="Arial" w:hAnsi="Arial"/>
          <w:sz w:val="16"/>
          <w:szCs w:val="16"/>
          <w:color w:val="auto"/>
        </w:rPr>
        <w:t>. If Executive’s employment shall terminate involuntarily without Cause or for Good Reason, within eighteen (18) months following a Change in Control, the Company shall provide Executive with the following severance payments and benefits in lieu of any severance benefits to which the Executive may otherwise be entitled to under any severance plan or program maintained by the Company:</w:t>
      </w:r>
    </w:p>
    <w:p>
      <w:pPr>
        <w:spacing w:after="0" w:line="25" w:lineRule="exact"/>
        <w:rPr>
          <w:rFonts w:ascii="Arial" w:cs="Arial" w:eastAsia="Arial" w:hAnsi="Arial"/>
          <w:sz w:val="16"/>
          <w:szCs w:val="16"/>
          <w:color w:val="auto"/>
        </w:rPr>
      </w:pPr>
    </w:p>
    <w:p>
      <w:pPr>
        <w:ind w:left="440" w:right="500" w:firstLine="881"/>
        <w:spacing w:after="0" w:line="268" w:lineRule="auto"/>
        <w:tabs>
          <w:tab w:leader="none" w:pos="152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Severance Payments</w:t>
      </w:r>
      <w:r>
        <w:rPr>
          <w:rFonts w:ascii="Arial" w:cs="Arial" w:eastAsia="Arial" w:hAnsi="Arial"/>
          <w:sz w:val="18"/>
          <w:szCs w:val="18"/>
          <w:color w:val="auto"/>
        </w:rPr>
        <w:t>: Pay to Executive an amount equal to twelve (12) months then current base salary, payable in a lump sum on the sixtieth (60th) day following the termination of employment.</w:t>
      </w:r>
    </w:p>
    <w:p>
      <w:pPr>
        <w:spacing w:after="0" w:line="132" w:lineRule="exact"/>
        <w:rPr>
          <w:sz w:val="20"/>
          <w:szCs w:val="20"/>
          <w:color w:val="auto"/>
        </w:rPr>
      </w:pPr>
    </w:p>
    <w:p>
      <w:pPr>
        <w:ind w:left="440" w:firstLine="881"/>
        <w:spacing w:after="0" w:line="298" w:lineRule="auto"/>
        <w:tabs>
          <w:tab w:leader="none" w:pos="157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Continued Benefits</w:t>
      </w:r>
      <w:r>
        <w:rPr>
          <w:rFonts w:ascii="Arial" w:cs="Arial" w:eastAsia="Arial" w:hAnsi="Arial"/>
          <w:sz w:val="16"/>
          <w:szCs w:val="16"/>
          <w:color w:val="auto"/>
        </w:rPr>
        <w:t>. If Executive elects to continue his health insurance coverage under COBRA following such termination, then the Company shall pay Executive’s monthly COBRA premium for continued health insurance coverage for Executive and Executive’s eligible dependents until the earlier of (i) twelve (12) months following the termination date, or (ii) the date upon which Executive and his eligible dependents become eligible for comparable coverage under a group health insurance plan maintained by subsequent employer.</w:t>
      </w:r>
    </w:p>
    <w:p>
      <w:pPr>
        <w:spacing w:after="0" w:line="112" w:lineRule="exact"/>
        <w:rPr>
          <w:rFonts w:ascii="Arial" w:cs="Arial" w:eastAsia="Arial" w:hAnsi="Arial"/>
          <w:sz w:val="16"/>
          <w:szCs w:val="16"/>
          <w:color w:val="auto"/>
        </w:rPr>
      </w:pPr>
    </w:p>
    <w:p>
      <w:pPr>
        <w:ind w:left="440" w:right="100" w:firstLine="881"/>
        <w:spacing w:after="0" w:line="294" w:lineRule="auto"/>
        <w:tabs>
          <w:tab w:leader="none" w:pos="162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Notwithstanding any provision to the contrary in any equity award agreement or equity compensation plan, the Company shall cause all outstanding equity awards then held by Executive (including, without limitation, stock options, stock appreciation rights, phantom shares, restricted stock or similar awards) to become fully vested and, if applicable, exercisable with respect to all the shares subject thereto effective immediately prior to the date of termination. In all other respects, such awards will continue to be subject to the terms and conditions of the plans, if any, under which they were granted and any applicable agreements between the Company and Executive.</w:t>
      </w:r>
    </w:p>
    <w:p>
      <w:pPr>
        <w:spacing w:after="0" w:line="116" w:lineRule="exact"/>
        <w:rPr>
          <w:sz w:val="20"/>
          <w:szCs w:val="20"/>
          <w:color w:val="auto"/>
        </w:rPr>
      </w:pPr>
    </w:p>
    <w:p>
      <w:pPr>
        <w:ind w:left="-20" w:firstLine="921"/>
        <w:spacing w:after="0" w:line="268" w:lineRule="auto"/>
        <w:tabs>
          <w:tab w:leader="none" w:pos="11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 in the event that the Company, or its successor, requests Executive to continue to serve in the same position following a Change in Control for a six (6)-month (or shorter) transition period (“</w:t>
      </w:r>
      <w:r>
        <w:rPr>
          <w:rFonts w:ascii="Arial" w:cs="Arial" w:eastAsia="Arial" w:hAnsi="Arial"/>
          <w:sz w:val="18"/>
          <w:szCs w:val="18"/>
          <w:u w:val="single" w:color="auto"/>
          <w:color w:val="auto"/>
        </w:rPr>
        <w:t>Transition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34" w:name="page135"/>
    <w:bookmarkEnd w:id="134"/>
    <w:p>
      <w:pPr>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w:t>
      </w:r>
      <w:r>
        <w:rPr>
          <w:rFonts w:ascii="Arial" w:cs="Arial" w:eastAsia="Arial" w:hAnsi="Arial"/>
          <w:sz w:val="18"/>
          <w:szCs w:val="18"/>
          <w:color w:val="auto"/>
        </w:rPr>
        <w:t>”), Executive shall not have Good Reason to resign pursuant to Section 1(d)(iii) during such Transition Period regardless if Executive’s title, authority, responsibility or duties have been materially reduced; provided that during such Transition Period Executive continues to be paid the same salary and be provided with the same bonus opportunity, if any, as in effect immediately prior to such Change in Control and Executive’s principal workplace is not relocated more than 35 miles from its location immediately prior to such Change in Control. Following the Transition Period, Executive may resign for Good Reason pursuant to Section 1(d)(iii) and be entitled to the benefits set forth in Section 2(b).</w:t>
      </w:r>
    </w:p>
    <w:p>
      <w:pPr>
        <w:spacing w:after="0" w:line="143" w:lineRule="exact"/>
        <w:rPr>
          <w:sz w:val="20"/>
          <w:szCs w:val="20"/>
          <w:color w:val="auto"/>
        </w:rPr>
      </w:pPr>
    </w:p>
    <w:p>
      <w:pPr>
        <w:ind w:left="640" w:hanging="176"/>
        <w:spacing w:after="0"/>
        <w:tabs>
          <w:tab w:leader="none" w:pos="64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921"/>
        <w:spacing w:after="0" w:line="306" w:lineRule="auto"/>
        <w:tabs>
          <w:tab w:leader="none" w:pos="1152"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Release of Claims</w:t>
      </w:r>
      <w:r>
        <w:rPr>
          <w:rFonts w:ascii="Arial" w:cs="Arial" w:eastAsia="Arial" w:hAnsi="Arial"/>
          <w:sz w:val="16"/>
          <w:szCs w:val="16"/>
          <w:color w:val="auto"/>
        </w:rPr>
        <w:t>. The receipt of any severance pursuant to Section 2 will be subject to Executive signing and not revoking a separation agreement and release of claims in a form reasonably acceptable to the Company within sixty (60) days following Executive’s termination of employment</w:t>
      </w:r>
      <w:r>
        <w:rPr>
          <w:rFonts w:ascii="Arial" w:cs="Arial" w:eastAsia="Arial" w:hAnsi="Arial"/>
          <w:sz w:val="16"/>
          <w:szCs w:val="16"/>
          <w:b w:val="1"/>
          <w:bCs w:val="1"/>
          <w:color w:val="auto"/>
        </w:rPr>
        <w:t>.</w:t>
      </w:r>
      <w:r>
        <w:rPr>
          <w:rFonts w:ascii="Arial" w:cs="Arial" w:eastAsia="Arial" w:hAnsi="Arial"/>
          <w:sz w:val="16"/>
          <w:szCs w:val="16"/>
          <w:color w:val="auto"/>
        </w:rPr>
        <w:t xml:space="preserve"> No severance pursuant to Section 2 will be paid or provided until the separation agreement and release of claims becomes effective.</w:t>
      </w:r>
    </w:p>
    <w:p>
      <w:pPr>
        <w:spacing w:after="0" w:line="106" w:lineRule="exact"/>
        <w:rPr>
          <w:rFonts w:ascii="Arial" w:cs="Arial" w:eastAsia="Arial" w:hAnsi="Arial"/>
          <w:sz w:val="16"/>
          <w:szCs w:val="16"/>
          <w:color w:val="auto"/>
        </w:rPr>
      </w:pPr>
    </w:p>
    <w:p>
      <w:pPr>
        <w:ind w:right="160" w:firstLine="921"/>
        <w:spacing w:after="0" w:line="283" w:lineRule="auto"/>
        <w:tabs>
          <w:tab w:leader="none" w:pos="1161"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contained in this Agreement to the contrary, to the maximum extent permitted by applicable law, amounts payable to Executive pursuant to Section 2 shall be made in reliance upon Treas. Reg. Section 1.409A-1(b)(9) (Separation Pay Plans) or Treas. Reg. Section 1.409A-1(b)(4) (Short-Term Deferrals). For this purpose each installment or monthly payment to which Executive is entitled under Section 2 shall be considered a separate and distinct payment. In addition, (i) no amount deemed deferred compensation subject to Section 409A shall be payable pursuant to Section 2 unless the Executive’s termination of employment constitutes a “separation from service” within the meaning of Treas. Reg. Section 1.409A-1(h) and</w:t>
      </w:r>
    </w:p>
    <w:p>
      <w:pPr>
        <w:spacing w:after="0" w:line="2" w:lineRule="exact"/>
        <w:rPr>
          <w:rFonts w:ascii="Arial" w:cs="Arial" w:eastAsia="Arial" w:hAnsi="Arial"/>
          <w:sz w:val="16"/>
          <w:szCs w:val="16"/>
          <w:color w:val="auto"/>
        </w:rPr>
      </w:pPr>
    </w:p>
    <w:p>
      <w:pPr>
        <w:ind w:firstLine="8"/>
        <w:spacing w:after="0" w:line="286" w:lineRule="auto"/>
        <w:tabs>
          <w:tab w:leader="none" w:pos="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Executive is deemed at the time of his separation from service to be a “specified employee” for purposes of Section 409A(a)(2)(B)(i) of the Code, then to the extent delayed commencement of any portion of the termination benefits to which Executive is entitled under this Agreement is required in order to avoid a prohibited distribution under Section 409A(a)(2)(B)(i) of the Code, such portion of Executive’s termination benefits shall not be provided to Executive prior to the earlier of (A) the expiration of the six-month period measured from the date of the Executive’s “separation from service” with the Company (as such term is defined in the Treasury Regulations issued under Section 409A of the Code) or (B) the date of Executive’s death. Upon the earlier of such dates, all payments deferred pursuant to this Section 3(b) shall be paid in a lump sum to Executive, and any remaining payments due under the Agreement shall be paid as otherwise provided herein. The determination of whether Executive is a “specified employee” for purposes of Section 409A(a)(2)(B)(i) of the Code as of the time of his separation from service shall be made by the Company in accordance with the terms of Section 409A of the Code and applicable guidance thereunder (including without limitation Treas. Reg. Section 1.409A-1(i) and any successor provision thereto). The reimbursement of any expense under this Agreement shall be made no later than December 31 of the year following the year in which the expense was incurred. The amount of expenses reimbursed in one year shall not affect the amount eligible for reimbursement in any subsequent year.</w:t>
      </w:r>
    </w:p>
    <w:p>
      <w:pPr>
        <w:spacing w:after="0" w:line="120" w:lineRule="exact"/>
        <w:rPr>
          <w:rFonts w:ascii="Arial" w:cs="Arial" w:eastAsia="Arial" w:hAnsi="Arial"/>
          <w:sz w:val="16"/>
          <w:szCs w:val="16"/>
          <w:color w:val="auto"/>
        </w:rPr>
      </w:pPr>
    </w:p>
    <w:p>
      <w:pPr>
        <w:ind w:right="820" w:firstLine="464"/>
        <w:spacing w:after="0" w:line="332" w:lineRule="auto"/>
        <w:tabs>
          <w:tab w:leader="none" w:pos="63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Successors and Binding Agreement</w:t>
      </w:r>
      <w:r>
        <w:rPr>
          <w:rFonts w:ascii="Arial" w:cs="Arial" w:eastAsia="Arial" w:hAnsi="Arial"/>
          <w:sz w:val="16"/>
          <w:szCs w:val="16"/>
          <w:color w:val="auto"/>
        </w:rPr>
        <w:t>. The Company will require any successor (whether direct or indirect, by purchase, merger, consolidation, reorganization or otherwise, including, without limitation, any successor due to a Change in Control) to the business or assets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35" w:name="page136"/>
    <w:bookmarkEnd w:id="135"/>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 by agreement in form and substance reasonably satisfactory to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directly or indirectly acquiring the business or assets of the Company in a transaction constituting a Change in Control (and such successor shall thereafter be deemed the “Company” for the purpose of this Agreement), but will not otherwise be assignable, transferable or delegable by the Company.</w:t>
      </w:r>
    </w:p>
    <w:p>
      <w:pPr>
        <w:spacing w:after="0" w:line="116" w:lineRule="exact"/>
        <w:rPr>
          <w:sz w:val="20"/>
          <w:szCs w:val="20"/>
          <w:color w:val="auto"/>
        </w:rPr>
      </w:pPr>
    </w:p>
    <w:p>
      <w:pPr>
        <w:ind w:right="580" w:firstLine="921"/>
        <w:spacing w:after="0" w:line="268" w:lineRule="auto"/>
        <w:tabs>
          <w:tab w:leader="none" w:pos="116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enforceable by Executive’s personal or legal representatives, executors, administrators, successors, heirs, distributees and legatees.</w:t>
      </w:r>
    </w:p>
    <w:p>
      <w:pPr>
        <w:spacing w:after="0" w:line="131" w:lineRule="exact"/>
        <w:rPr>
          <w:rFonts w:ascii="Arial" w:cs="Arial" w:eastAsia="Arial" w:hAnsi="Arial"/>
          <w:sz w:val="18"/>
          <w:szCs w:val="18"/>
          <w:color w:val="auto"/>
        </w:rPr>
      </w:pPr>
    </w:p>
    <w:p>
      <w:pPr>
        <w:ind w:firstLine="921"/>
        <w:spacing w:after="0" w:line="294" w:lineRule="auto"/>
        <w:tabs>
          <w:tab w:leader="none" w:pos="1152"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consent of the other, assign, transfer or delegate this Agreement or any rights or obligations hereunder except as expressly provided in Sections 4(a) and 4(b). Without limiting the generality or effect of the foregoing,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4(c), the Company shall have no liability to pay any amount so attempted to be assigned, transferred or delegated.</w:t>
      </w:r>
    </w:p>
    <w:p>
      <w:pPr>
        <w:spacing w:after="0" w:line="115" w:lineRule="exact"/>
        <w:rPr>
          <w:rFonts w:ascii="Arial" w:cs="Arial" w:eastAsia="Arial" w:hAnsi="Arial"/>
          <w:sz w:val="16"/>
          <w:szCs w:val="16"/>
          <w:color w:val="auto"/>
        </w:rPr>
      </w:pPr>
    </w:p>
    <w:p>
      <w:pPr>
        <w:ind w:right="200" w:firstLine="464"/>
        <w:spacing w:after="0" w:line="259"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Agreement.</w:t>
      </w:r>
      <w:r>
        <w:rPr>
          <w:rFonts w:ascii="Arial" w:cs="Arial" w:eastAsia="Arial" w:hAnsi="Arial"/>
          <w:sz w:val="18"/>
          <w:szCs w:val="18"/>
          <w:color w:val="auto"/>
        </w:rPr>
        <w:t xml:space="preserve"> This Agreement may be changed or terminated only upon the mutual written consent of the Company and Executive. The written consent of the Company to a change or termination of this Agreement must be signed by an executive officer of the Company after such change or termination has been approved by the Board.</w:t>
      </w:r>
    </w:p>
    <w:p>
      <w:pPr>
        <w:spacing w:after="0" w:line="140" w:lineRule="exact"/>
        <w:rPr>
          <w:rFonts w:ascii="Arial" w:cs="Arial" w:eastAsia="Arial" w:hAnsi="Arial"/>
          <w:sz w:val="18"/>
          <w:szCs w:val="18"/>
          <w:color w:val="auto"/>
        </w:rPr>
      </w:pPr>
    </w:p>
    <w:p>
      <w:pPr>
        <w:ind w:right="60" w:firstLine="464"/>
        <w:spacing w:after="0" w:line="253"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UPS, or DHL, addressed to the Company (to the attention of the Secretary of the Company) at its principal executive office and to Executive at his principal residence, or to such other address as any party may have furnished to the other in writing and in accordance herewith, except that notices of changes of address shall be effective only upon receipt.</w:t>
      </w:r>
    </w:p>
    <w:p>
      <w:pPr>
        <w:spacing w:after="0" w:line="147" w:lineRule="exact"/>
        <w:rPr>
          <w:rFonts w:ascii="Arial" w:cs="Arial" w:eastAsia="Arial" w:hAnsi="Arial"/>
          <w:sz w:val="18"/>
          <w:szCs w:val="18"/>
          <w:color w:val="auto"/>
        </w:rPr>
      </w:pPr>
    </w:p>
    <w:p>
      <w:pPr>
        <w:ind w:right="20" w:firstLine="464"/>
        <w:spacing w:after="0" w:line="256"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6" w:name="page137"/>
    <w:bookmarkEnd w:id="136"/>
    <w:p>
      <w:pPr>
        <w:ind w:left="-20" w:right="20" w:firstLine="464"/>
        <w:spacing w:after="0" w:line="298" w:lineRule="auto"/>
        <w:tabs>
          <w:tab w:leader="none" w:pos="61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Jurisdiction</w:t>
      </w:r>
      <w:r>
        <w:rPr>
          <w:rFonts w:ascii="Arial" w:cs="Arial" w:eastAsia="Arial" w:hAnsi="Arial"/>
          <w:sz w:val="16"/>
          <w:szCs w:val="16"/>
          <w:color w:val="auto"/>
        </w:rPr>
        <w:t>. The laws of the state of California shall govern the interpretation, validity and performance of the terms of this Agreement, regardless of the law that might be applied under principles of conflicts of law. Any suit, action or proceeding against Executive, with respect to this Agreement, or any judgment entered by any court in respect of any of such, may be brought in any court of competent jurisdiction in the State of California, and Executive hereby submits to the jurisdiction of such courts for the purpose of any such suit, action, proceeding or judgment.</w:t>
      </w:r>
    </w:p>
    <w:p>
      <w:pPr>
        <w:spacing w:after="0" w:line="112" w:lineRule="exact"/>
        <w:rPr>
          <w:rFonts w:ascii="Arial" w:cs="Arial" w:eastAsia="Arial" w:hAnsi="Arial"/>
          <w:sz w:val="16"/>
          <w:szCs w:val="16"/>
          <w:color w:val="auto"/>
        </w:rPr>
      </w:pPr>
    </w:p>
    <w:p>
      <w:pPr>
        <w:ind w:left="-20" w:firstLine="464"/>
        <w:spacing w:after="0" w:line="253" w:lineRule="auto"/>
        <w:tabs>
          <w:tab w:leader="none" w:pos="61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 of this Agreement may be modified, waived or discharged unless such waiver, modification or discharge is agreed to in writing signed by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This Agreement constitutes the entire agreement of the parties with respect to the subject matter hereof and supersedes any and all prior agreements of the parties with respect to such subject matter. No agreements or representations, oral or otherwise, expressed or implied with respect to the subject matter hereof have been made by either party which are not set forth expressly in this Agreement. References to Sections are to references to Sections of this Agreement.</w:t>
      </w:r>
    </w:p>
    <w:p>
      <w:pPr>
        <w:spacing w:after="0" w:line="147" w:lineRule="exact"/>
        <w:rPr>
          <w:rFonts w:ascii="Arial" w:cs="Arial" w:eastAsia="Arial" w:hAnsi="Arial"/>
          <w:sz w:val="18"/>
          <w:szCs w:val="18"/>
          <w:color w:val="auto"/>
        </w:rPr>
      </w:pPr>
    </w:p>
    <w:p>
      <w:pPr>
        <w:ind w:left="-20" w:right="140" w:firstLine="464"/>
        <w:spacing w:after="0" w:line="268"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31" w:lineRule="exact"/>
        <w:rPr>
          <w:rFonts w:ascii="Arial" w:cs="Arial" w:eastAsia="Arial" w:hAnsi="Arial"/>
          <w:sz w:val="18"/>
          <w:szCs w:val="18"/>
          <w:color w:val="auto"/>
        </w:rPr>
      </w:pPr>
    </w:p>
    <w:p>
      <w:pPr>
        <w:ind w:left="-20" w:right="20" w:firstLine="464"/>
        <w:spacing w:after="0" w:line="290" w:lineRule="auto"/>
        <w:tabs>
          <w:tab w:leader="none" w:pos="69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xml:space="preserve">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would otherwise be taxable to Executive under Section 409A, the Company may adopt such limited amendments to this Agreement and appropriate policies and procedures, including amendments and policies with retroactive effect, that the Company reasonably determines are necessary or appropriate to comply with the requirements of Section 409A and thereby avoid the application of taxes under such Section.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and delivered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CORCEPT THERAPEUTICS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Robert L. Roe,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Robert L. Roe, M.D.</w:t>
      </w:r>
    </w:p>
    <w:p>
      <w:pPr>
        <w:sectPr>
          <w:pgSz w:w="11900" w:h="16838" w:orient="portrait"/>
          <w:cols w:equalWidth="0" w:num="1">
            <w:col w:w="9900"/>
          </w:cols>
          <w:pgMar w:left="700" w:top="280" w:right="12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10.27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AND CHANGE IN CONTROL AGREEMENT</w:t>
      </w:r>
    </w:p>
    <w:p>
      <w:pPr>
        <w:spacing w:after="0" w:line="171"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THIS AMENDED AND RESTATED SEVERANCE AND CHANGE IN CONTROL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19</w:t>
      </w:r>
      <w:r>
        <w:rPr>
          <w:rFonts w:ascii="Arial" w:cs="Arial" w:eastAsia="Arial" w:hAnsi="Arial"/>
          <w:sz w:val="18"/>
          <w:szCs w:val="18"/>
          <w:b w:val="1"/>
          <w:bCs w:val="1"/>
          <w:color w:val="auto"/>
        </w:rPr>
        <w:t xml:space="preserve">, </w:t>
      </w:r>
      <w:r>
        <w:rPr>
          <w:rFonts w:ascii="Arial" w:cs="Arial" w:eastAsia="Arial" w:hAnsi="Arial"/>
          <w:sz w:val="18"/>
          <w:szCs w:val="18"/>
          <w:color w:val="auto"/>
        </w:rPr>
        <w:t>2008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Anne M. LeDoux, Vice President and Controller (“</w:t>
      </w:r>
      <w:r>
        <w:rPr>
          <w:rFonts w:ascii="Arial" w:cs="Arial" w:eastAsia="Arial" w:hAnsi="Arial"/>
          <w:sz w:val="18"/>
          <w:szCs w:val="18"/>
          <w:u w:val="single" w:color="auto"/>
          <w:color w:val="auto"/>
        </w:rPr>
        <w:t>Executive</w:t>
      </w:r>
      <w:r>
        <w:rPr>
          <w:rFonts w:ascii="Arial" w:cs="Arial" w:eastAsia="Arial" w:hAnsi="Arial"/>
          <w:sz w:val="18"/>
          <w:szCs w:val="18"/>
          <w:color w:val="auto"/>
        </w:rPr>
        <w:t>”) and Corcept Therapeutics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the Company and Executive desire to amend and restate that certain Severance and Change in Control Agreement, dated as of July 24, 2007, in order to reflect certain recent changes affecting the taxation of deferred compensation arrangements pursuant to Section 409A of the Internal Revenue Code of 1986, as amended (the “Code”);</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Executive is a senior executive of the Company and has made and is expected to continue to make major contributions to the short and long term profitability, growth and financial strength of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recognizes that, as is the case for most publicly held companies, the possibility of a Change in Control (as defined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exists;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desires to assure itself of both present and future continuity of management;</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the Company wishes to ensure that Executive is not practically disabled from discharging his duties in respect of a proposed or actual transaction involving a Change in Control;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desires to provide additional inducement for Executive to continue to remain in the employ of the Company.</w:t>
      </w:r>
    </w:p>
    <w:p>
      <w:pPr>
        <w:spacing w:after="0" w:line="194"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exchange for good and valuable consideration, the receipt and sufficiency of which is hereby acknowledged, the Company and Executive agree as follows:</w:t>
      </w:r>
    </w:p>
    <w:p>
      <w:pPr>
        <w:spacing w:after="0" w:line="51" w:lineRule="exact"/>
        <w:rPr>
          <w:sz w:val="20"/>
          <w:szCs w:val="20"/>
          <w:color w:val="auto"/>
        </w:rPr>
      </w:pPr>
    </w:p>
    <w:p>
      <w:pPr>
        <w:ind w:right="280" w:firstLine="464"/>
        <w:spacing w:after="0" w:line="268" w:lineRule="auto"/>
        <w:tabs>
          <w:tab w:leader="none" w:pos="632"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In addition to terms defined elsewhere herein, the following terms have the following meanings when used in this Agreement with initial capital letters:</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right="320" w:firstLine="921"/>
        <w:spacing w:after="0" w:line="259" w:lineRule="auto"/>
        <w:tabs>
          <w:tab w:leader="none" w:pos="1162" w:val="left"/>
        </w:tabs>
        <w:numPr>
          <w:ilvl w:val="1"/>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(i) Executive’s gross negligence or willful misconduct in the performance of his duties to the Company where such gross negligence or willful misconduct has resulted or is likely to result in material damage to the Company or its subsidiaries; (ii) Executive’s willful and habitual neglect of his or her duties of consulting or</w:t>
      </w:r>
    </w:p>
    <w:p>
      <w:pPr>
        <w:sectPr>
          <w:pgSz w:w="11900" w:h="16838" w:orient="portrait"/>
          <w:cols w:equalWidth="0" w:num="1">
            <w:col w:w="11420"/>
          </w:cols>
          <w:pgMar w:left="240" w:top="125" w:right="239" w:bottom="1440" w:gutter="0" w:footer="0" w:header="0"/>
        </w:sectPr>
      </w:pPr>
    </w:p>
    <w:bookmarkStart w:id="139" w:name="page140"/>
    <w:bookmarkEnd w:id="13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employment; (iii) Executive’s commission of any act of fraud with respect to the Company; (iv) Executive’s conviction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felony criminal conduct or any crime involving moral turpitude; or (v) Executive’s violation of any noncompetition or confidentiality agreement that Executive has entered into with the Company.</w:t>
      </w:r>
    </w:p>
    <w:p>
      <w:pPr>
        <w:spacing w:after="0" w:line="140" w:lineRule="exact"/>
        <w:rPr>
          <w:sz w:val="20"/>
          <w:szCs w:val="20"/>
          <w:color w:val="auto"/>
        </w:rPr>
      </w:pPr>
    </w:p>
    <w:p>
      <w:pPr>
        <w:ind w:firstLine="921"/>
        <w:spacing w:after="0" w:line="287" w:lineRule="auto"/>
        <w:tabs>
          <w:tab w:leader="none" w:pos="1152"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shall mean: (i) the liquidation, dissolution or winding up of the Company; (ii) any consolidation or merger of the Company with or into any other corporation or other entity or person, or any other corporate reorganization in which the Company’s stockholders immediately prior to such transaction do not hold more than fifty percent (50%) of the voting power of the surviving or acquiring entity (or its parent) immediately following such transaction (taking into account only voting power resulting from stock held by such stockholders prior to such transaction); (iii) any transaction or series of related transactions to which the Company is a party in which in excess of fifty percent (50%) of the Company’s voting power outstanding before such transaction is transferred or (iv) 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Change in Control shall not include (A) a merger or consolidation with a wholly-owned subsidiary of the Company, (B) a merger effected exclusively for the purpose of changing the domicile of the Company or (C) any transaction or series of related transactions principally for bona fide equity financing purposes.</w:t>
      </w:r>
    </w:p>
    <w:p>
      <w:pPr>
        <w:spacing w:after="0" w:line="122" w:lineRule="exact"/>
        <w:rPr>
          <w:rFonts w:ascii="Arial" w:cs="Arial" w:eastAsia="Arial" w:hAnsi="Arial"/>
          <w:sz w:val="16"/>
          <w:szCs w:val="16"/>
          <w:color w:val="auto"/>
        </w:rPr>
      </w:pPr>
    </w:p>
    <w:p>
      <w:pPr>
        <w:ind w:right="60" w:firstLine="921"/>
        <w:spacing w:after="0" w:line="288" w:lineRule="auto"/>
        <w:tabs>
          <w:tab w:leader="none" w:pos="1162" w:val="left"/>
        </w:tabs>
        <w:numPr>
          <w:ilvl w:val="1"/>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any of the following events which Executive provides written notice to the Company of within 90 days of such event having occurred and which is not cured by the Company within 30 days after such written notice thereof is provided to the Company by Executive: (i) any reduction of Executive’s base salary or target annual bonus; (ii) any involuntary relocation of Executive’s principal workplace to a location more than 35 miles in any direction from Executive’s current principal workplace, (iii) a substantial and material adverse change, without Executive’s written consent, in Executive’s title, authority, responsibility or duties; or (iv) any material breach by the Company of any provision of this Agreement or any other employment agreement, after written notice delivered to the Company of such breach and the Company’s failure to cure such breach; </w:t>
      </w:r>
      <w:r>
        <w:rPr>
          <w:rFonts w:ascii="Arial" w:cs="Arial" w:eastAsia="Arial" w:hAnsi="Arial"/>
          <w:sz w:val="16"/>
          <w:szCs w:val="16"/>
          <w:i w:val="1"/>
          <w:iCs w:val="1"/>
          <w:color w:val="auto"/>
        </w:rPr>
        <w:t>provided, however</w:t>
      </w:r>
      <w:r>
        <w:rPr>
          <w:rFonts w:ascii="Arial" w:cs="Arial" w:eastAsia="Arial" w:hAnsi="Arial"/>
          <w:sz w:val="16"/>
          <w:szCs w:val="16"/>
          <w:color w:val="auto"/>
        </w:rPr>
        <w:t>, in the context of a Change in Control, Executive shall not have Good Reason to resign in connection with a reorganization of the Company in which the executive would retain substantially similar title, authority, duties, base pay and bonus but might have greater or lesser reporting responsibilities. In order to constitute a termination of employment for Good Reason, Executive’s employment must be terminated no later than 180 days following the initial occurrence of any events set forth above.</w:t>
      </w:r>
    </w:p>
    <w:p>
      <w:pPr>
        <w:spacing w:after="0" w:line="119" w:lineRule="exact"/>
        <w:rPr>
          <w:rFonts w:ascii="Arial" w:cs="Arial" w:eastAsia="Arial" w:hAnsi="Arial"/>
          <w:sz w:val="16"/>
          <w:szCs w:val="16"/>
          <w:color w:val="auto"/>
        </w:rPr>
      </w:pPr>
    </w:p>
    <w:p>
      <w:pPr>
        <w:ind w:right="520" w:firstLine="464"/>
        <w:spacing w:after="0" w:line="268" w:lineRule="auto"/>
        <w:tabs>
          <w:tab w:leader="none" w:pos="6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Terminations Without Cause or for Good Reason</w:t>
      </w:r>
      <w:r>
        <w:rPr>
          <w:rFonts w:ascii="Arial" w:cs="Arial" w:eastAsia="Arial" w:hAnsi="Arial"/>
          <w:sz w:val="18"/>
          <w:szCs w:val="18"/>
          <w:color w:val="auto"/>
        </w:rPr>
        <w:t>. If Executive’s employment shall terminate involuntarily without Cause or for Good Reason, the Company shall provide Executive with severance payments and benefits pursuant to this Section 2.</w:t>
      </w:r>
    </w:p>
    <w:p>
      <w:pPr>
        <w:spacing w:after="0" w:line="50" w:lineRule="exact"/>
        <w:rPr>
          <w:rFonts w:ascii="Arial" w:cs="Arial" w:eastAsia="Arial" w:hAnsi="Arial"/>
          <w:sz w:val="18"/>
          <w:szCs w:val="18"/>
          <w:color w:val="auto"/>
        </w:rPr>
      </w:pPr>
    </w:p>
    <w:p>
      <w:pPr>
        <w:ind w:right="80" w:firstLine="921"/>
        <w:spacing w:after="0" w:line="256" w:lineRule="auto"/>
        <w:tabs>
          <w:tab w:leader="none" w:pos="115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Terminations Not in Connection with a Change In Control</w:t>
      </w:r>
      <w:r>
        <w:rPr>
          <w:rFonts w:ascii="Arial" w:cs="Arial" w:eastAsia="Arial" w:hAnsi="Arial"/>
          <w:sz w:val="18"/>
          <w:szCs w:val="18"/>
          <w:color w:val="auto"/>
        </w:rPr>
        <w:t>. If Executive’s employment shall terminate involuntarily without Cause or for Good Reason, prior to a Change in Control or more than eighteen (18) months following a Change in Control, the Company shall provide Executive with the following severance payments and benefits in lieu of any severance benefits to which the Executive may otherwise be entitled to under any severance plan or program maintained by the Company:</w:t>
      </w:r>
    </w:p>
    <w:p>
      <w:pPr>
        <w:spacing w:after="0" w:line="62" w:lineRule="exact"/>
        <w:rPr>
          <w:rFonts w:ascii="Arial" w:cs="Arial" w:eastAsia="Arial" w:hAnsi="Arial"/>
          <w:sz w:val="18"/>
          <w:szCs w:val="18"/>
          <w:color w:val="auto"/>
        </w:rPr>
      </w:pPr>
    </w:p>
    <w:p>
      <w:pPr>
        <w:ind w:left="460" w:right="200" w:firstLine="881"/>
        <w:spacing w:after="0" w:line="298" w:lineRule="auto"/>
        <w:tabs>
          <w:tab w:leader="none" w:pos="1546" w:val="left"/>
        </w:tabs>
        <w:numPr>
          <w:ilvl w:val="2"/>
          <w:numId w:val="98"/>
        </w:numPr>
        <w:rPr>
          <w:rFonts w:ascii="Arial" w:cs="Arial" w:eastAsia="Arial" w:hAnsi="Arial"/>
          <w:sz w:val="16"/>
          <w:szCs w:val="16"/>
          <w:color w:val="auto"/>
        </w:rPr>
      </w:pPr>
      <w:r>
        <w:rPr>
          <w:rFonts w:ascii="Arial" w:cs="Arial" w:eastAsia="Arial" w:hAnsi="Arial"/>
          <w:sz w:val="16"/>
          <w:szCs w:val="16"/>
          <w:u w:val="single" w:color="auto"/>
          <w:color w:val="auto"/>
        </w:rPr>
        <w:t>Severance Payments</w:t>
      </w:r>
      <w:r>
        <w:rPr>
          <w:rFonts w:ascii="Arial" w:cs="Arial" w:eastAsia="Arial" w:hAnsi="Arial"/>
          <w:sz w:val="16"/>
          <w:szCs w:val="16"/>
          <w:color w:val="auto"/>
        </w:rPr>
        <w:t>: Pay to Executive an amount equal to twelve (12) months then current base salary, payable in substantially equal installments in accordance with the Company’s customary payroll practices and procedures. The continuation of your base salary shall be paid beginning on the sixtieth (60th) day following the date of termination, all payments deferred pursuant to this sentence shall be paid in a lump sum to Executive and any remaining payments due under this paragraph shall be paid as otherwise provided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0" w:name="page141"/>
    <w:bookmarkEnd w:id="140"/>
    <w:p>
      <w:pPr>
        <w:ind w:left="440" w:right="20" w:firstLine="881"/>
        <w:spacing w:after="0" w:line="255" w:lineRule="auto"/>
        <w:tabs>
          <w:tab w:leader="none" w:pos="1575"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Benefits</w:t>
      </w:r>
      <w:r>
        <w:rPr>
          <w:rFonts w:ascii="Arial" w:cs="Arial" w:eastAsia="Arial" w:hAnsi="Arial"/>
          <w:sz w:val="18"/>
          <w:szCs w:val="18"/>
          <w:color w:val="auto"/>
        </w:rPr>
        <w:t>. If Executive elects to continue his health insurance coverage under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following such termination, then the Company shall pay Executive’s monthly COBRA premium for continued health insurance coverage for Executive and Executive’s eligible dependents until the earlier of (i) twelve (12) months following the termination date, or (ii) the date upon which Executive and his eligible dependents become eligible for comparable coverage under a group health insurance plan maintained by subsequent employer.</w:t>
      </w:r>
    </w:p>
    <w:p>
      <w:pPr>
        <w:spacing w:after="0" w:line="142" w:lineRule="exact"/>
        <w:rPr>
          <w:rFonts w:ascii="Arial" w:cs="Arial" w:eastAsia="Arial" w:hAnsi="Arial"/>
          <w:sz w:val="18"/>
          <w:szCs w:val="18"/>
          <w:color w:val="auto"/>
        </w:rPr>
      </w:pPr>
    </w:p>
    <w:p>
      <w:pPr>
        <w:ind w:left="-20" w:right="40" w:firstLine="921"/>
        <w:spacing w:after="0" w:line="306" w:lineRule="auto"/>
        <w:tabs>
          <w:tab w:leader="none" w:pos="1141"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Terminations in Connection with a Change In Control</w:t>
      </w:r>
      <w:r>
        <w:rPr>
          <w:rFonts w:ascii="Arial" w:cs="Arial" w:eastAsia="Arial" w:hAnsi="Arial"/>
          <w:sz w:val="16"/>
          <w:szCs w:val="16"/>
          <w:color w:val="auto"/>
        </w:rPr>
        <w:t>. If Executive’s employment shall terminate involuntarily without Cause or for Good Reason, within eighteen (18) months following a Change in Control, the Company shall provide Executive with the following severance payments and benefits in lieu of any severance benefits to which the Executive may otherwise be entitled to under any severance plan or program maintained by the Company:</w:t>
      </w:r>
    </w:p>
    <w:p>
      <w:pPr>
        <w:spacing w:after="0" w:line="25" w:lineRule="exact"/>
        <w:rPr>
          <w:rFonts w:ascii="Arial" w:cs="Arial" w:eastAsia="Arial" w:hAnsi="Arial"/>
          <w:sz w:val="16"/>
          <w:szCs w:val="16"/>
          <w:color w:val="auto"/>
        </w:rPr>
      </w:pPr>
    </w:p>
    <w:p>
      <w:pPr>
        <w:ind w:left="440" w:right="500" w:firstLine="881"/>
        <w:spacing w:after="0" w:line="268" w:lineRule="auto"/>
        <w:tabs>
          <w:tab w:leader="none" w:pos="1526"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Severance Payments</w:t>
      </w:r>
      <w:r>
        <w:rPr>
          <w:rFonts w:ascii="Arial" w:cs="Arial" w:eastAsia="Arial" w:hAnsi="Arial"/>
          <w:sz w:val="18"/>
          <w:szCs w:val="18"/>
          <w:color w:val="auto"/>
        </w:rPr>
        <w:t>: Pay to Executive an amount equal to twelve (12) months then current base salary, payable in a lump sum on the sixtieth (60th) day following the termination of employment.</w:t>
      </w:r>
    </w:p>
    <w:p>
      <w:pPr>
        <w:spacing w:after="0" w:line="132" w:lineRule="exact"/>
        <w:rPr>
          <w:sz w:val="20"/>
          <w:szCs w:val="20"/>
          <w:color w:val="auto"/>
        </w:rPr>
      </w:pPr>
    </w:p>
    <w:p>
      <w:pPr>
        <w:ind w:left="440" w:firstLine="881"/>
        <w:spacing w:after="0" w:line="298" w:lineRule="auto"/>
        <w:tabs>
          <w:tab w:leader="none" w:pos="157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Continued Benefits</w:t>
      </w:r>
      <w:r>
        <w:rPr>
          <w:rFonts w:ascii="Arial" w:cs="Arial" w:eastAsia="Arial" w:hAnsi="Arial"/>
          <w:sz w:val="16"/>
          <w:szCs w:val="16"/>
          <w:color w:val="auto"/>
        </w:rPr>
        <w:t>. If Executive elects to continue his health insurance coverage under COBRA following such termination, then the Company shall pay Executive’s monthly COBRA premium for continued health insurance coverage for Executive and Executive’s eligible dependents until the earlier of (i) twelve (12) months following the termination date, or (ii) the date upon which Executive and his eligible dependents become eligible for comparable coverage under a group health insurance plan maintained by subsequent employer.</w:t>
      </w:r>
    </w:p>
    <w:p>
      <w:pPr>
        <w:spacing w:after="0" w:line="112" w:lineRule="exact"/>
        <w:rPr>
          <w:rFonts w:ascii="Arial" w:cs="Arial" w:eastAsia="Arial" w:hAnsi="Arial"/>
          <w:sz w:val="16"/>
          <w:szCs w:val="16"/>
          <w:color w:val="auto"/>
        </w:rPr>
      </w:pPr>
    </w:p>
    <w:p>
      <w:pPr>
        <w:ind w:left="440" w:right="100" w:firstLine="881"/>
        <w:spacing w:after="0" w:line="294" w:lineRule="auto"/>
        <w:tabs>
          <w:tab w:leader="none" w:pos="162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Notwithstanding any provision to the contrary in any equity award agreement or equity compensation plan, the Company shall cause all outstanding equity awards then held by Executive (including, without limitation, stock options, stock appreciation rights, phantom shares, restricted stock or similar awards) to become fully vested and, if applicable, exercisable with respect to all the shares subject thereto effective immediately prior to the date of termination. In all other respects, such awards will continue to be subject to the terms and conditions of the plans, if any, under which they were granted and any applicable agreements between the Company and Executive.</w:t>
      </w:r>
    </w:p>
    <w:p>
      <w:pPr>
        <w:spacing w:after="0" w:line="116" w:lineRule="exact"/>
        <w:rPr>
          <w:sz w:val="20"/>
          <w:szCs w:val="20"/>
          <w:color w:val="auto"/>
        </w:rPr>
      </w:pPr>
    </w:p>
    <w:p>
      <w:pPr>
        <w:ind w:left="-20" w:firstLine="921"/>
        <w:spacing w:after="0" w:line="268" w:lineRule="auto"/>
        <w:tabs>
          <w:tab w:leader="none" w:pos="113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 in the event that the Company, or its successor, requests Executive to continue to serve in the same position following a Change in Control for a six (6)-month (or shorter) transition period (“</w:t>
      </w:r>
      <w:r>
        <w:rPr>
          <w:rFonts w:ascii="Arial" w:cs="Arial" w:eastAsia="Arial" w:hAnsi="Arial"/>
          <w:sz w:val="18"/>
          <w:szCs w:val="18"/>
          <w:u w:val="single" w:color="auto"/>
          <w:color w:val="auto"/>
        </w:rPr>
        <w:t>Transition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41" w:name="page142"/>
    <w:bookmarkEnd w:id="141"/>
    <w:p>
      <w:pPr>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w:t>
      </w:r>
      <w:r>
        <w:rPr>
          <w:rFonts w:ascii="Arial" w:cs="Arial" w:eastAsia="Arial" w:hAnsi="Arial"/>
          <w:sz w:val="18"/>
          <w:szCs w:val="18"/>
          <w:color w:val="auto"/>
        </w:rPr>
        <w:t>”), Executive shall not have Good Reason to resign pursuant to Section 1(d)(iii) during such Transition Period regardless if Executive’s title, authority, responsibility or duties have been materially reduced; provided that during such Transition Period Executive continues to be paid the same salary and be provided with the same bonus opportunity, if any, as in effect immediately prior to such Change in Control and Executive’s principal workplace is not relocated more than 35 miles from its location immediately prior to such Change in Control. Following the Transition Period, Executive may resign for Good Reason pursuant to Section 1(d)(iii) and be entitled to the benefits set forth in Section 2(b).</w:t>
      </w:r>
    </w:p>
    <w:p>
      <w:pPr>
        <w:spacing w:after="0" w:line="143" w:lineRule="exact"/>
        <w:rPr>
          <w:sz w:val="20"/>
          <w:szCs w:val="20"/>
          <w:color w:val="auto"/>
        </w:rPr>
      </w:pPr>
    </w:p>
    <w:p>
      <w:pPr>
        <w:ind w:left="640" w:hanging="176"/>
        <w:spacing w:after="0"/>
        <w:tabs>
          <w:tab w:leader="none" w:pos="64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921"/>
        <w:spacing w:after="0" w:line="306" w:lineRule="auto"/>
        <w:tabs>
          <w:tab w:leader="none" w:pos="1152" w:val="left"/>
        </w:tabs>
        <w:numPr>
          <w:ilvl w:val="2"/>
          <w:numId w:val="103"/>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Release of Claims</w:t>
      </w:r>
      <w:r>
        <w:rPr>
          <w:rFonts w:ascii="Arial" w:cs="Arial" w:eastAsia="Arial" w:hAnsi="Arial"/>
          <w:sz w:val="16"/>
          <w:szCs w:val="16"/>
          <w:color w:val="auto"/>
        </w:rPr>
        <w:t>. The receipt of any severance pursuant to Section 2 will be subject to Executive signing and not revoking a separation agreement and release of claims in a form reasonably acceptable to the Company within sixty (60) days following Executive’s termination of employment</w:t>
      </w:r>
      <w:r>
        <w:rPr>
          <w:rFonts w:ascii="Arial" w:cs="Arial" w:eastAsia="Arial" w:hAnsi="Arial"/>
          <w:sz w:val="16"/>
          <w:szCs w:val="16"/>
          <w:b w:val="1"/>
          <w:bCs w:val="1"/>
          <w:color w:val="auto"/>
        </w:rPr>
        <w:t>.</w:t>
      </w:r>
      <w:r>
        <w:rPr>
          <w:rFonts w:ascii="Arial" w:cs="Arial" w:eastAsia="Arial" w:hAnsi="Arial"/>
          <w:sz w:val="16"/>
          <w:szCs w:val="16"/>
          <w:color w:val="auto"/>
        </w:rPr>
        <w:t xml:space="preserve"> No severance pursuant to Section 2 will be paid or provided until the separation agreement and release of claims becomes effective.</w:t>
      </w:r>
    </w:p>
    <w:p>
      <w:pPr>
        <w:spacing w:after="0" w:line="106" w:lineRule="exact"/>
        <w:rPr>
          <w:rFonts w:ascii="Arial" w:cs="Arial" w:eastAsia="Arial" w:hAnsi="Arial"/>
          <w:sz w:val="16"/>
          <w:szCs w:val="16"/>
          <w:color w:val="auto"/>
        </w:rPr>
      </w:pPr>
    </w:p>
    <w:p>
      <w:pPr>
        <w:ind w:right="160" w:firstLine="921"/>
        <w:spacing w:after="0" w:line="283" w:lineRule="auto"/>
        <w:tabs>
          <w:tab w:leader="none" w:pos="1161" w:val="left"/>
        </w:tabs>
        <w:numPr>
          <w:ilvl w:val="2"/>
          <w:numId w:val="10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contained in this Agreement to the contrary, to the maximum extent permitted by applicable law, amounts payable to Executive pursuant to Section 2 shall be made in reliance upon Treas. Reg. Section 1.409A-1(b)(9) (Separation Pay Plans) or Treas. Reg. Section 1.409A-1(b)(4) (Short-Term Deferrals). For this purpose each installment or monthly payment to which Executive is entitled under Section 2 shall be considered a separate and distinct payment. In addition, (i) no amount deemed deferred compensation subject to Section 409A shall be payable pursuant to Section 2 unless the Executive’s termination of employment constitutes a “separation from service” within the meaning of Treas. Reg. Section 1.409A-1(h) and</w:t>
      </w:r>
    </w:p>
    <w:p>
      <w:pPr>
        <w:spacing w:after="0" w:line="2" w:lineRule="exact"/>
        <w:rPr>
          <w:rFonts w:ascii="Arial" w:cs="Arial" w:eastAsia="Arial" w:hAnsi="Arial"/>
          <w:sz w:val="16"/>
          <w:szCs w:val="16"/>
          <w:color w:val="auto"/>
        </w:rPr>
      </w:pPr>
    </w:p>
    <w:p>
      <w:pPr>
        <w:ind w:firstLine="8"/>
        <w:spacing w:after="0" w:line="286" w:lineRule="auto"/>
        <w:tabs>
          <w:tab w:leader="none" w:pos="2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the Executive is deemed at the time of his separation from service to be a “specified employee” for purposes of Section 409A(a)(2)(B)(i) of the Code, then to the extent delayed commencement of any portion of the termination benefits to which Executive is entitled under this Agreement is required in order to avoid a prohibited distribution under Section 409A(a)(2)(B)(i) of the Code, such portion of Executive’s termination benefits shall not be provided to Executive prior to the earlier of (A) the expiration of the six-month period measured from the date of the Executive’s “separation from service” with the Company (as such term is defined in the Treasury Regulations issued under Section 409A of the Code) or (B) the date of Executive’s death. Upon the earlier of such dates, all payments deferred pursuant to this Section 3(b) shall be paid in a lump sum to Executive, and any remaining payments due under the Agreement shall be paid as otherwise provided herein. The determination of whether Executive is a “specified employee” for purposes of Section 409A(a)(2)(B)(i) of the Code as of the time of his separation from service shall be made by the Company in accordance with the terms of Section 409A of the Code and applicable guidance thereunder (including without limitation Treas. Reg. Section 1.409A-1(i) and any successor provision thereto). The reimbursement of any expense under this Agreement shall be made no later than December 31 of the year following the year in which the expense was incurred. The amount of expenses reimbursed in one year shall not affect the amount eligible for reimbursement in any subsequent year.</w:t>
      </w:r>
    </w:p>
    <w:p>
      <w:pPr>
        <w:spacing w:after="0" w:line="120" w:lineRule="exact"/>
        <w:rPr>
          <w:rFonts w:ascii="Arial" w:cs="Arial" w:eastAsia="Arial" w:hAnsi="Arial"/>
          <w:sz w:val="16"/>
          <w:szCs w:val="16"/>
          <w:color w:val="auto"/>
        </w:rPr>
      </w:pPr>
    </w:p>
    <w:p>
      <w:pPr>
        <w:ind w:right="820" w:firstLine="464"/>
        <w:spacing w:after="0" w:line="332" w:lineRule="auto"/>
        <w:tabs>
          <w:tab w:leader="none" w:pos="632"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Successors and Binding Agreement</w:t>
      </w:r>
      <w:r>
        <w:rPr>
          <w:rFonts w:ascii="Arial" w:cs="Arial" w:eastAsia="Arial" w:hAnsi="Arial"/>
          <w:sz w:val="16"/>
          <w:szCs w:val="16"/>
          <w:color w:val="auto"/>
        </w:rPr>
        <w:t>. The Company will require any successor (whether direct or indirect, by purchase, merger, consolidation, reorganization or otherwise, including, without limitation, any successor due to a Change in Control) to the business or assets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42" w:name="page143"/>
    <w:bookmarkEnd w:id="142"/>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 by agreement in form and substance reasonably satisfactory to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directly or indirectly acquiring the business or assets of the Company in a transaction constituting a Change in Control (and such successor shall thereafter be deemed the “Company” for the purpose of this Agreement), but will not otherwise be assignable, transferable or delegable by the Company.</w:t>
      </w:r>
    </w:p>
    <w:p>
      <w:pPr>
        <w:spacing w:after="0" w:line="116" w:lineRule="exact"/>
        <w:rPr>
          <w:sz w:val="20"/>
          <w:szCs w:val="20"/>
          <w:color w:val="auto"/>
        </w:rPr>
      </w:pPr>
    </w:p>
    <w:p>
      <w:pPr>
        <w:ind w:right="580" w:firstLine="921"/>
        <w:spacing w:after="0" w:line="268" w:lineRule="auto"/>
        <w:tabs>
          <w:tab w:leader="none" w:pos="116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enforceable by Executive’s personal or legal representatives, executors, administrators, successors, heirs, distributees and legatees.</w:t>
      </w:r>
    </w:p>
    <w:p>
      <w:pPr>
        <w:spacing w:after="0" w:line="131" w:lineRule="exact"/>
        <w:rPr>
          <w:rFonts w:ascii="Arial" w:cs="Arial" w:eastAsia="Arial" w:hAnsi="Arial"/>
          <w:sz w:val="18"/>
          <w:szCs w:val="18"/>
          <w:color w:val="auto"/>
        </w:rPr>
      </w:pPr>
    </w:p>
    <w:p>
      <w:pPr>
        <w:ind w:firstLine="921"/>
        <w:spacing w:after="0" w:line="294" w:lineRule="auto"/>
        <w:tabs>
          <w:tab w:leader="none" w:pos="115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consent of the other, assign, transfer or delegate this Agreement or any rights or obligations hereunder except as expressly provided in Sections 4(a) and 4(b). Without limiting the generality or effect of the foregoing,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4(c), the Company shall have no liability to pay any amount so attempted to be assigned, transferred or delegated.</w:t>
      </w:r>
    </w:p>
    <w:p>
      <w:pPr>
        <w:spacing w:after="0" w:line="115" w:lineRule="exact"/>
        <w:rPr>
          <w:rFonts w:ascii="Arial" w:cs="Arial" w:eastAsia="Arial" w:hAnsi="Arial"/>
          <w:sz w:val="16"/>
          <w:szCs w:val="16"/>
          <w:color w:val="auto"/>
        </w:rPr>
      </w:pPr>
    </w:p>
    <w:p>
      <w:pPr>
        <w:ind w:right="200" w:firstLine="464"/>
        <w:spacing w:after="0" w:line="259"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Agreement</w:t>
      </w:r>
      <w:r>
        <w:rPr>
          <w:rFonts w:ascii="Arial" w:cs="Arial" w:eastAsia="Arial" w:hAnsi="Arial"/>
          <w:sz w:val="18"/>
          <w:szCs w:val="18"/>
          <w:color w:val="auto"/>
        </w:rPr>
        <w:t>. This Agreement may be changed or terminated only upon the mutual written consent of the Company and Executive. The written consent of the Company to a change or termination of this Agreement must be signed by an executive officer of the Company after such change or termination has been approved by the Board.</w:t>
      </w:r>
    </w:p>
    <w:p>
      <w:pPr>
        <w:spacing w:after="0" w:line="140" w:lineRule="exact"/>
        <w:rPr>
          <w:rFonts w:ascii="Arial" w:cs="Arial" w:eastAsia="Arial" w:hAnsi="Arial"/>
          <w:sz w:val="18"/>
          <w:szCs w:val="18"/>
          <w:color w:val="auto"/>
        </w:rPr>
      </w:pPr>
    </w:p>
    <w:p>
      <w:pPr>
        <w:ind w:right="60" w:firstLine="464"/>
        <w:spacing w:after="0" w:line="253"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UPS, or DHL, addressed to the Company (to the attention of the Secretary of the Company) at its principal executive office and to Executive at his principal residence, or to such other address as any party may have furnished to the other in writing and in accordance herewith, except that notices of changes of address shall be effective only upon receipt.</w:t>
      </w:r>
    </w:p>
    <w:p>
      <w:pPr>
        <w:spacing w:after="0" w:line="147" w:lineRule="exact"/>
        <w:rPr>
          <w:rFonts w:ascii="Arial" w:cs="Arial" w:eastAsia="Arial" w:hAnsi="Arial"/>
          <w:sz w:val="18"/>
          <w:szCs w:val="18"/>
          <w:color w:val="auto"/>
        </w:rPr>
      </w:pPr>
    </w:p>
    <w:p>
      <w:pPr>
        <w:ind w:right="20" w:firstLine="464"/>
        <w:spacing w:after="0" w:line="256"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3" w:name="page144"/>
    <w:bookmarkEnd w:id="143"/>
    <w:p>
      <w:pPr>
        <w:ind w:left="-20" w:right="20" w:firstLine="464"/>
        <w:spacing w:after="0" w:line="298" w:lineRule="auto"/>
        <w:tabs>
          <w:tab w:leader="none" w:pos="61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Jurisdiction</w:t>
      </w:r>
      <w:r>
        <w:rPr>
          <w:rFonts w:ascii="Arial" w:cs="Arial" w:eastAsia="Arial" w:hAnsi="Arial"/>
          <w:sz w:val="16"/>
          <w:szCs w:val="16"/>
          <w:color w:val="auto"/>
        </w:rPr>
        <w:t>. The laws of the state of California shall govern the interpretation, validity and performance of the terms of this Agreement, regardless of the law that might be applied under principles of conflicts of law. Any suit, action or proceeding against Executive, with respect to this Agreement, or any judgment entered by any court in respect of any of such, may be brought in any court of competent jurisdiction in the State of California, and Executive hereby submits to the jurisdiction of such courts for the purpose of any such suit, action, proceeding or judgment.</w:t>
      </w:r>
    </w:p>
    <w:p>
      <w:pPr>
        <w:spacing w:after="0" w:line="112" w:lineRule="exact"/>
        <w:rPr>
          <w:rFonts w:ascii="Arial" w:cs="Arial" w:eastAsia="Arial" w:hAnsi="Arial"/>
          <w:sz w:val="16"/>
          <w:szCs w:val="16"/>
          <w:color w:val="auto"/>
        </w:rPr>
      </w:pPr>
    </w:p>
    <w:p>
      <w:pPr>
        <w:ind w:left="-20" w:firstLine="464"/>
        <w:spacing w:after="0" w:line="253" w:lineRule="auto"/>
        <w:tabs>
          <w:tab w:leader="none" w:pos="61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 of this Agreement may be modified, waived or discharged unless such waiver, modification or discharge is agreed to in writing signed by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This Agreement constitutes the entire agreement of the parties with respect to the subject matter hereof and supersedes any and all prior agreements of the parties with respect to such subject matter. No agreements or representations, oral or otherwise, expressed or implied with respect to the subject matter hereof have been made by either party which are not set forth expressly in this Agreement. References to Sections are to references to Sections of this Agreement.</w:t>
      </w:r>
    </w:p>
    <w:p>
      <w:pPr>
        <w:spacing w:after="0" w:line="147" w:lineRule="exact"/>
        <w:rPr>
          <w:rFonts w:ascii="Arial" w:cs="Arial" w:eastAsia="Arial" w:hAnsi="Arial"/>
          <w:sz w:val="18"/>
          <w:szCs w:val="18"/>
          <w:color w:val="auto"/>
        </w:rPr>
      </w:pPr>
    </w:p>
    <w:p>
      <w:pPr>
        <w:ind w:left="-20" w:right="140" w:firstLine="464"/>
        <w:spacing w:after="0" w:line="268" w:lineRule="auto"/>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31" w:lineRule="exact"/>
        <w:rPr>
          <w:rFonts w:ascii="Arial" w:cs="Arial" w:eastAsia="Arial" w:hAnsi="Arial"/>
          <w:sz w:val="18"/>
          <w:szCs w:val="18"/>
          <w:color w:val="auto"/>
        </w:rPr>
      </w:pPr>
    </w:p>
    <w:p>
      <w:pPr>
        <w:ind w:left="-20" w:right="20" w:firstLine="464"/>
        <w:spacing w:after="0" w:line="290" w:lineRule="auto"/>
        <w:tabs>
          <w:tab w:leader="none" w:pos="693"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would otherwise be taxable to Executive under Section 409A, the Company may adopt such limited amendments to this Agreement and appropriate policies and procedures, including amendments and policies with retroactive effect, that the Company reasonably determines are necessary or appropriate to comply with the requirements of Section 409A and thereby avoid the application of taxes under such Section.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and delivered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CORCEPT THERAPEUTICS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Anne M. LeDoux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Anne M. LeDoux</w:t>
      </w:r>
    </w:p>
    <w:p>
      <w:pPr>
        <w:sectPr>
          <w:pgSz w:w="11900" w:h="16838" w:orient="portrait"/>
          <w:cols w:equalWidth="0" w:num="1">
            <w:col w:w="9900"/>
          </w:cols>
          <w:pgMar w:left="700" w:top="280" w:right="12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AND CHANGE IN CONTROL AGREEMENT</w:t>
      </w:r>
    </w:p>
    <w:p>
      <w:pPr>
        <w:spacing w:after="0" w:line="171" w:lineRule="exact"/>
        <w:rPr>
          <w:sz w:val="20"/>
          <w:szCs w:val="20"/>
          <w:color w:val="auto"/>
        </w:rPr>
      </w:pPr>
    </w:p>
    <w:p>
      <w:pPr>
        <w:ind w:right="60" w:firstLine="913"/>
        <w:spacing w:after="0" w:line="262" w:lineRule="auto"/>
        <w:rPr>
          <w:sz w:val="20"/>
          <w:szCs w:val="20"/>
          <w:color w:val="auto"/>
        </w:rPr>
      </w:pPr>
      <w:r>
        <w:rPr>
          <w:rFonts w:ascii="Arial" w:cs="Arial" w:eastAsia="Arial" w:hAnsi="Arial"/>
          <w:sz w:val="18"/>
          <w:szCs w:val="18"/>
          <w:b w:val="1"/>
          <w:bCs w:val="1"/>
          <w:color w:val="auto"/>
        </w:rPr>
        <w:t xml:space="preserve">THIS AMENDED AND RESTATED SEVERANCE AND CHANGE IN CONTROL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19,</w:t>
      </w:r>
      <w:r>
        <w:rPr>
          <w:rFonts w:ascii="Arial" w:cs="Arial" w:eastAsia="Arial" w:hAnsi="Arial"/>
          <w:sz w:val="18"/>
          <w:szCs w:val="18"/>
          <w:b w:val="1"/>
          <w:bCs w:val="1"/>
          <w:color w:val="auto"/>
        </w:rPr>
        <w:t xml:space="preserve"> </w:t>
      </w:r>
      <w:r>
        <w:rPr>
          <w:rFonts w:ascii="Arial" w:cs="Arial" w:eastAsia="Arial" w:hAnsi="Arial"/>
          <w:sz w:val="18"/>
          <w:szCs w:val="18"/>
          <w:color w:val="auto"/>
        </w:rPr>
        <w:t>2008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James N. Wilson, Chairman of the Board of Directors (“</w:t>
      </w:r>
      <w:r>
        <w:rPr>
          <w:rFonts w:ascii="Arial" w:cs="Arial" w:eastAsia="Arial" w:hAnsi="Arial"/>
          <w:sz w:val="18"/>
          <w:szCs w:val="18"/>
          <w:u w:val="single" w:color="auto"/>
          <w:color w:val="auto"/>
        </w:rPr>
        <w:t>Executive</w:t>
      </w:r>
      <w:r>
        <w:rPr>
          <w:rFonts w:ascii="Arial" w:cs="Arial" w:eastAsia="Arial" w:hAnsi="Arial"/>
          <w:sz w:val="18"/>
          <w:szCs w:val="18"/>
          <w:color w:val="auto"/>
        </w:rPr>
        <w:t>”) and Corcept Therapeutics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the Company and Executive desire to amend and restate that certain Severance and Change in Control Agreement, dated as of July 24, 2007, in order to reflect certain recent changes affecting the taxation of deferred compensation arrangements pursuant to Section 409A of the Internal Revenue Code of 1986, as amended (the “Code”);</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Executive is a senior executive of the Company and has made and is expected to continue to make major contributions to the short and long term profitability, growth and financial strength of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recognizes that, as is the case for most publicly held companies, the possibility of a Change in Control (as defined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exists;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desires to assure itself of both present and future continuity of management;</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the Company wishes to ensure that Executive is not practically disabled from discharging his duties in respect of a proposed or actual transaction involving a Change in Control;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desires to provide additional inducement for Executive to continue to remain in the employ of the Company.</w:t>
      </w:r>
    </w:p>
    <w:p>
      <w:pPr>
        <w:spacing w:after="0" w:line="194"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exchange for good and valuable consideration, the receipt and sufficiency of which is hereby acknowledged, the Company and Executive agree as follows:</w:t>
      </w:r>
    </w:p>
    <w:p>
      <w:pPr>
        <w:spacing w:after="0" w:line="51" w:lineRule="exact"/>
        <w:rPr>
          <w:sz w:val="20"/>
          <w:szCs w:val="20"/>
          <w:color w:val="auto"/>
        </w:rPr>
      </w:pPr>
    </w:p>
    <w:p>
      <w:pPr>
        <w:ind w:right="280" w:firstLine="464"/>
        <w:spacing w:after="0" w:line="268" w:lineRule="auto"/>
        <w:tabs>
          <w:tab w:leader="none" w:pos="63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In addition to terms defined elsewhere herein, the following terms have the following meanings when used in this Agreement with initial capital letters:</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right="320" w:firstLine="921"/>
        <w:spacing w:after="0" w:line="294" w:lineRule="auto"/>
        <w:tabs>
          <w:tab w:leader="none" w:pos="116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Executive’s gross negligence or willful misconduct in the performance of his duties to the Company where such gross negligence or willful misconduct has resulted or is likely to result in material damage to the Company or its subsidiaries; (ii) Executive’s willful and habitual neglect of his or her duties of consulting or employment; (iii) Executive’s commission of any act of fraud with respect to the Company; (iv) Executive’s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felony criminal conduct or any crime involving moral turpitude; or (v) Executive’s violation of any noncompetition or confidentiality agreement that Executive has entered into with the Company.</w:t>
      </w:r>
    </w:p>
    <w:p>
      <w:pPr>
        <w:sectPr>
          <w:pgSz w:w="11900" w:h="16838" w:orient="portrait"/>
          <w:cols w:equalWidth="0" w:num="1">
            <w:col w:w="11420"/>
          </w:cols>
          <w:pgMar w:left="240" w:top="125" w:right="239" w:bottom="1440" w:gutter="0" w:footer="0" w:header="0"/>
        </w:sectPr>
      </w:pPr>
    </w:p>
    <w:bookmarkStart w:id="146" w:name="page147"/>
    <w:bookmarkEnd w:id="146"/>
    <w:p>
      <w:pPr>
        <w:ind w:left="-20" w:firstLine="921"/>
        <w:spacing w:after="0" w:line="287" w:lineRule="auto"/>
        <w:tabs>
          <w:tab w:leader="none" w:pos="1132" w:val="left"/>
        </w:tabs>
        <w:numPr>
          <w:ilvl w:val="1"/>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w:t>
      </w: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shall mean: (i) the liquidation, dissolution or winding up of the Company; (ii) any consolidation or merger of the Company with or into any other corporation or other entity or person, or any other corporate reorganization in which the Company’s stockholders immediately prior to such transaction do not hold more than fifty percent (50%) of the voting power of the surviving or acquiring entity (or its parent) immediately following such transaction (taking into account only voting power resulting from stock held by such stockholders prior to such transaction); (iii) any transaction or series of related transactions to which the Company is a party in which in excess of fifty percent (50%) of the Company’s voting power outstanding before such transaction is transferred or (iv) 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Change in Control shall not include (A) a merger or consolidation with a wholly-owned subsidiary of the Company, (B) a merger effected exclusively for the purpose of changing the domicile of the Company or (C) any transaction or series of related transactions principally for bona fide equity financing purposes.</w:t>
      </w:r>
    </w:p>
    <w:p>
      <w:pPr>
        <w:spacing w:after="0" w:line="122" w:lineRule="exact"/>
        <w:rPr>
          <w:rFonts w:ascii="Arial" w:cs="Arial" w:eastAsia="Arial" w:hAnsi="Arial"/>
          <w:sz w:val="16"/>
          <w:szCs w:val="16"/>
          <w:color w:val="auto"/>
        </w:rPr>
      </w:pPr>
    </w:p>
    <w:p>
      <w:pPr>
        <w:ind w:left="-20" w:right="60" w:firstLine="921"/>
        <w:spacing w:after="0" w:line="288" w:lineRule="auto"/>
        <w:tabs>
          <w:tab w:leader="none" w:pos="114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any of the following events which Executive provides written notice to the Company of within 90 days of such event having occurred and which is not cured by the Company within 30 days after such written notice thereof is provided to the Company by Executive: (i) any reduction of Executive’s base salary or target annual bonus; (ii) any involuntary relocation of Executive’s principal workplace to a location more than 35 miles in any direction from Executive’s current principal workplace, (iii) a substantial and material adverse change, without Executive’s written consent, in Executive’s title, authority, responsibility or duties; or (iv) any material breach by the Company of any provision of this Agreement or any other employment agreement, after written notice delivered to the Company of such breach and the Company’s failure to cure such breach; </w:t>
      </w:r>
      <w:r>
        <w:rPr>
          <w:rFonts w:ascii="Arial" w:cs="Arial" w:eastAsia="Arial" w:hAnsi="Arial"/>
          <w:sz w:val="16"/>
          <w:szCs w:val="16"/>
          <w:i w:val="1"/>
          <w:iCs w:val="1"/>
          <w:color w:val="auto"/>
        </w:rPr>
        <w:t>provided, however</w:t>
      </w:r>
      <w:r>
        <w:rPr>
          <w:rFonts w:ascii="Arial" w:cs="Arial" w:eastAsia="Arial" w:hAnsi="Arial"/>
          <w:sz w:val="16"/>
          <w:szCs w:val="16"/>
          <w:color w:val="auto"/>
        </w:rPr>
        <w:t>, in the context of a Change in Control, Executive shall not have Good Reason to resign in connection with a reorganization of the Company in which the executive would retain substantially similar title, authority, duties, base pay and bonus but might have greater or lesser reporting responsibilities. In order to constitute a termination of employment for Good Reason, Executive’s employment must be terminated no later than 180 days following the initial occurrence of any events set forth above.</w:t>
      </w:r>
    </w:p>
    <w:p>
      <w:pPr>
        <w:spacing w:after="0" w:line="119" w:lineRule="exact"/>
        <w:rPr>
          <w:rFonts w:ascii="Arial" w:cs="Arial" w:eastAsia="Arial" w:hAnsi="Arial"/>
          <w:sz w:val="16"/>
          <w:szCs w:val="16"/>
          <w:color w:val="auto"/>
        </w:rPr>
      </w:pPr>
    </w:p>
    <w:p>
      <w:pPr>
        <w:ind w:left="620" w:hanging="176"/>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Terminations Without Cause or for Good Reason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80" w:firstLine="921"/>
        <w:spacing w:after="0" w:line="291" w:lineRule="auto"/>
        <w:tabs>
          <w:tab w:leader="none" w:pos="113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Executive’s employment or service on the Board shall terminate involuntarily without Cause or for Good Reason, within eighteen (18) months following a Change in Control, notwithstanding any provision to the contrary in any equity award agreement or equity compensation plan, the Company shall cause all outstanding equity awards then held by Executive (including, without limitation, stock options, stock appreciation rights, phantom shares, restricted stock or similar awards) to become fully vested and, if applicable, exercisable with respect to all the shares subject thereto effective immediately prior to the date of termination. In all other respects, such awards will continue to be subject to the terms and conditions of the plans, if any, under which they were granted and any applicable agreements between the Company and Executive.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47" w:name="page148"/>
    <w:bookmarkEnd w:id="147"/>
    <w:p>
      <w:pPr>
        <w:ind w:firstLine="921"/>
        <w:spacing w:after="0" w:line="253" w:lineRule="auto"/>
        <w:tabs>
          <w:tab w:leader="none" w:pos="1162" w:val="left"/>
        </w:tabs>
        <w:numPr>
          <w:ilvl w:val="2"/>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to the contrary in this Section 2, in the event that the Company, or its successor, requests Executive to continue to serve in the same position following a Change in Control for a six (6)-month (or shorter) transition period (“</w:t>
      </w:r>
      <w:r>
        <w:rPr>
          <w:rFonts w:ascii="Arial" w:cs="Arial" w:eastAsia="Arial" w:hAnsi="Arial"/>
          <w:sz w:val="18"/>
          <w:szCs w:val="18"/>
          <w:u w:val="single" w:color="auto"/>
          <w:color w:val="auto"/>
        </w:rPr>
        <w:t>Transition Period</w:t>
      </w:r>
      <w:r>
        <w:rPr>
          <w:rFonts w:ascii="Arial" w:cs="Arial" w:eastAsia="Arial" w:hAnsi="Arial"/>
          <w:sz w:val="18"/>
          <w:szCs w:val="18"/>
          <w:color w:val="auto"/>
        </w:rPr>
        <w:t>”), Executive shall not have Good Reason to resign pursuant to Section 1(d)(iii) during such Transition Period regardless if Executive’s title, authority, responsibility or duties have been materially reduced; provided that during such Transition Period Executive continues to be paid the same salary and be provided with the same bonus opportunity, if any, as in effect immediately prior to such Change in Control and Executive’s principal workplace is not relocated more than 35 miles from its location immediately prior to such Change in Control. Following the Transition Period, Executive may resign for Good Reason pursuant to Section 1(d)(iii) and be entitled to the benefits set forth in Section 2(a).</w:t>
      </w:r>
    </w:p>
    <w:p>
      <w:pPr>
        <w:spacing w:after="0" w:line="147" w:lineRule="exact"/>
        <w:rPr>
          <w:rFonts w:ascii="Arial" w:cs="Arial" w:eastAsia="Arial" w:hAnsi="Arial"/>
          <w:sz w:val="18"/>
          <w:szCs w:val="18"/>
          <w:color w:val="auto"/>
        </w:rPr>
      </w:pPr>
    </w:p>
    <w:p>
      <w:pPr>
        <w:ind w:left="640" w:hanging="176"/>
        <w:spacing w:after="0"/>
        <w:tabs>
          <w:tab w:leader="none" w:pos="64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921"/>
        <w:spacing w:after="0" w:line="306" w:lineRule="auto"/>
        <w:tabs>
          <w:tab w:leader="none" w:pos="1152" w:val="left"/>
        </w:tabs>
        <w:numPr>
          <w:ilvl w:val="2"/>
          <w:numId w:val="112"/>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Release of Claims</w:t>
      </w:r>
      <w:r>
        <w:rPr>
          <w:rFonts w:ascii="Arial" w:cs="Arial" w:eastAsia="Arial" w:hAnsi="Arial"/>
          <w:sz w:val="16"/>
          <w:szCs w:val="16"/>
          <w:color w:val="auto"/>
        </w:rPr>
        <w:t>. The receipt of any severance pursuant to Section 2 will be subject to Executive signing and not revoking a separation agreement and release of claims in a form reasonably acceptable to the Company within sixty (60) days following Executive’s termination of employment</w:t>
      </w:r>
      <w:r>
        <w:rPr>
          <w:rFonts w:ascii="Arial" w:cs="Arial" w:eastAsia="Arial" w:hAnsi="Arial"/>
          <w:sz w:val="16"/>
          <w:szCs w:val="16"/>
          <w:b w:val="1"/>
          <w:bCs w:val="1"/>
          <w:color w:val="auto"/>
        </w:rPr>
        <w:t>.</w:t>
      </w:r>
      <w:r>
        <w:rPr>
          <w:rFonts w:ascii="Arial" w:cs="Arial" w:eastAsia="Arial" w:hAnsi="Arial"/>
          <w:sz w:val="16"/>
          <w:szCs w:val="16"/>
          <w:color w:val="auto"/>
        </w:rPr>
        <w:t xml:space="preserve"> No severance pursuant to Section 2 will be paid or provided until the separation agreement and release of claims becomes effective.</w:t>
      </w:r>
    </w:p>
    <w:p>
      <w:pPr>
        <w:spacing w:after="0" w:line="106" w:lineRule="exact"/>
        <w:rPr>
          <w:rFonts w:ascii="Arial" w:cs="Arial" w:eastAsia="Arial" w:hAnsi="Arial"/>
          <w:sz w:val="16"/>
          <w:szCs w:val="16"/>
          <w:color w:val="auto"/>
        </w:rPr>
      </w:pPr>
    </w:p>
    <w:p>
      <w:pPr>
        <w:ind w:right="200" w:firstLine="921"/>
        <w:spacing w:after="0" w:line="283" w:lineRule="auto"/>
        <w:tabs>
          <w:tab w:leader="none" w:pos="1161" w:val="left"/>
        </w:tabs>
        <w:numPr>
          <w:ilvl w:val="2"/>
          <w:numId w:val="11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contained in this Agreement to the contrary, to the maximum extent permitted by applicable law, amounts payable to Executive pursuant to Section 2 shall be made in reliance upon Treas. Reg. Section 1.409A-1(b)(9) (Separation Pay Plans) or Treas. Reg. Section 1.409A-1(b)(4) (Short-Term Deferrals). For this purpose each installment or monthly payment to which Executive is entitled under Section 2 shall be considered a separate and distinct payment. In addition, (i) no amount deemed deferred compensation subject to Section 409A shall be payable pursuant to Section 2 unless the Executive’s termination of employment constitutes a “separation from service” within the meaning of Treas. Reg. Section 1.409A-1(h) and</w:t>
      </w:r>
    </w:p>
    <w:p>
      <w:pPr>
        <w:spacing w:after="0" w:line="2" w:lineRule="exact"/>
        <w:rPr>
          <w:rFonts w:ascii="Arial" w:cs="Arial" w:eastAsia="Arial" w:hAnsi="Arial"/>
          <w:sz w:val="16"/>
          <w:szCs w:val="16"/>
          <w:color w:val="auto"/>
        </w:rPr>
      </w:pPr>
    </w:p>
    <w:p>
      <w:pPr>
        <w:ind w:right="40" w:firstLine="8"/>
        <w:spacing w:after="0" w:line="286" w:lineRule="auto"/>
        <w:tabs>
          <w:tab w:leader="none" w:pos="2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Executive is deemed at the time of his separation from service to be a “specified employee” for purposes of Section 409A(a)(2)(B)(i) of the Code, then to the extent delayed commencement of any portion of the termination benefits to which Executive is entitled under this Agreement is required in order to avoid a prohibited distribution under Section 409A(a)(2)(B)(i) of the Code, such portion of Executive’s termination benefits shall not be provided to Executive prior to the earlier of (A) the expiration of the six-month period measured from the date of the Executive’s “separation from service” with the Company (as such term is defined in the Treasury Regulations issued under Section 409A of the Code) or (B) the date of Executive’s death. Upon the earlier of such dates, all payments deferred pursuant to this Section 3(b) shall be paid in a lump sum to Executive, and any remaining payments due under the Agreement shall be paid as otherwise provided herein. The determination of whether Executive is a “specified employee” for purposes of Section 409A(a)(2)(B)(i) of the Code as of the time of his separation from service shall be made by the Company in accordance with the terms of Section 409A of the Code and applicable guidance thereunder (including without limitation Treas. Reg. Section 1.409A-1(i) and any successor provision thereto). The reimbursement of any expense under this Agreement shall be made no later than December 31 of the year following the year in which the expense was incurred. The amount of expenses reimbursed in one year shall not affect the amount eligible for reimbursement in any subsequent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8" w:name="page149"/>
    <w:bookmarkEnd w:id="148"/>
    <w:p>
      <w:pPr>
        <w:ind w:left="640" w:hanging="176"/>
        <w:spacing w:after="0"/>
        <w:tabs>
          <w:tab w:leader="none" w:pos="64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Successors and Binding Agreement</w:t>
      </w:r>
      <w:r>
        <w:rPr>
          <w:rFonts w:ascii="Arial" w:cs="Arial" w:eastAsia="Arial" w:hAnsi="Arial"/>
          <w:sz w:val="16"/>
          <w:szCs w:val="16"/>
          <w:color w:val="auto"/>
        </w:rPr>
        <w:t>. The Company will require any successor (whether direct or indirect, by purchase, merger, consolidation,</w:t>
      </w:r>
    </w:p>
    <w:p>
      <w:pPr>
        <w:spacing w:after="0" w:line="38" w:lineRule="exact"/>
        <w:rPr>
          <w:rFonts w:ascii="Arial" w:cs="Arial" w:eastAsia="Arial" w:hAnsi="Arial"/>
          <w:sz w:val="16"/>
          <w:szCs w:val="16"/>
          <w:color w:val="auto"/>
        </w:rPr>
      </w:pPr>
    </w:p>
    <w:p>
      <w:pPr>
        <w:ind w:right="60"/>
        <w:spacing w:after="0" w:line="290" w:lineRule="auto"/>
        <w:rPr>
          <w:rFonts w:ascii="Arial" w:cs="Arial" w:eastAsia="Arial" w:hAnsi="Arial"/>
          <w:sz w:val="16"/>
          <w:szCs w:val="16"/>
          <w:color w:val="auto"/>
        </w:rPr>
      </w:pPr>
      <w:r>
        <w:rPr>
          <w:rFonts w:ascii="Arial" w:cs="Arial" w:eastAsia="Arial" w:hAnsi="Arial"/>
          <w:sz w:val="16"/>
          <w:szCs w:val="16"/>
          <w:color w:val="auto"/>
        </w:rPr>
        <w:t>reorganization or otherwise, including, without limitation, any successor due to a Change in Control) to the business or assets of the Company, by agreement in form and substance reasonably satisfactory to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directly or indirectly acquiring the business or assets of the Company in a transaction constituting a Change in Control (and such successor shall thereafter be deemed the “Company” for the purpose of this Agreement), but will not otherwise be assignable, transferable or delegable by the Company.</w:t>
      </w:r>
    </w:p>
    <w:p>
      <w:pPr>
        <w:spacing w:after="0" w:line="118" w:lineRule="exact"/>
        <w:rPr>
          <w:rFonts w:ascii="Arial" w:cs="Arial" w:eastAsia="Arial" w:hAnsi="Arial"/>
          <w:sz w:val="16"/>
          <w:szCs w:val="16"/>
          <w:color w:val="auto"/>
        </w:rPr>
      </w:pPr>
    </w:p>
    <w:p>
      <w:pPr>
        <w:ind w:right="580" w:firstLine="921"/>
        <w:spacing w:after="0" w:line="268" w:lineRule="auto"/>
        <w:tabs>
          <w:tab w:leader="none" w:pos="116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enforceable by Executive’s personal or legal representatives, executors, administrators, successors, heirs, distributees and legatees.</w:t>
      </w:r>
    </w:p>
    <w:p>
      <w:pPr>
        <w:spacing w:after="0" w:line="131" w:lineRule="exact"/>
        <w:rPr>
          <w:rFonts w:ascii="Arial" w:cs="Arial" w:eastAsia="Arial" w:hAnsi="Arial"/>
          <w:sz w:val="18"/>
          <w:szCs w:val="18"/>
          <w:color w:val="auto"/>
        </w:rPr>
      </w:pPr>
    </w:p>
    <w:p>
      <w:pPr>
        <w:ind w:firstLine="921"/>
        <w:spacing w:after="0" w:line="294" w:lineRule="auto"/>
        <w:tabs>
          <w:tab w:leader="none" w:pos="115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consent of the other, assign, transfer or delegate this Agreement or any rights or obligations hereunder except as expressly provided in Sections 4(a) and 4(b). Without limiting the generality or effect of the foregoing,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4(c), the Company shall have no liability to pay any amount so attempted to be assigned, transferred or delegated.</w:t>
      </w:r>
    </w:p>
    <w:p>
      <w:pPr>
        <w:spacing w:after="0" w:line="115" w:lineRule="exact"/>
        <w:rPr>
          <w:rFonts w:ascii="Arial" w:cs="Arial" w:eastAsia="Arial" w:hAnsi="Arial"/>
          <w:sz w:val="16"/>
          <w:szCs w:val="16"/>
          <w:color w:val="auto"/>
        </w:rPr>
      </w:pPr>
    </w:p>
    <w:p>
      <w:pPr>
        <w:ind w:right="200" w:firstLine="464"/>
        <w:spacing w:after="0" w:line="259" w:lineRule="auto"/>
        <w:tabs>
          <w:tab w:leader="none" w:pos="63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Agreement</w:t>
      </w:r>
      <w:r>
        <w:rPr>
          <w:rFonts w:ascii="Arial" w:cs="Arial" w:eastAsia="Arial" w:hAnsi="Arial"/>
          <w:sz w:val="18"/>
          <w:szCs w:val="18"/>
          <w:color w:val="auto"/>
        </w:rPr>
        <w:t>. This Agreement may be changed or terminated only upon the mutual written consent of the Company and Executive. The written consent of the Company to a change or termination of this Agreement must be signed by an executive officer of the Company after such change or termination has been approved by the Board.</w:t>
      </w:r>
    </w:p>
    <w:p>
      <w:pPr>
        <w:spacing w:after="0" w:line="140" w:lineRule="exact"/>
        <w:rPr>
          <w:rFonts w:ascii="Arial" w:cs="Arial" w:eastAsia="Arial" w:hAnsi="Arial"/>
          <w:sz w:val="18"/>
          <w:szCs w:val="18"/>
          <w:color w:val="auto"/>
        </w:rPr>
      </w:pPr>
    </w:p>
    <w:p>
      <w:pPr>
        <w:ind w:right="60" w:firstLine="464"/>
        <w:spacing w:after="0" w:line="253" w:lineRule="auto"/>
        <w:tabs>
          <w:tab w:leader="none" w:pos="63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UPS, or DHL, addressed to the Company (to the attention of the Secretary of the Company) at its principal executive office and to Executive at his principal residence, or to such other address as any party may have furnished to the other in writing and in accordance herewith, except that notices of changes of address shall be effective only upon receipt.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9" w:name="page150"/>
    <w:bookmarkEnd w:id="149"/>
    <w:p>
      <w:pPr>
        <w:ind w:left="-20" w:right="20" w:firstLine="464"/>
        <w:spacing w:after="0" w:line="256" w:lineRule="auto"/>
        <w:tabs>
          <w:tab w:leader="none" w:pos="61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Validity</w:t>
      </w:r>
      <w:r>
        <w:rPr>
          <w:rFonts w:ascii="Arial" w:cs="Arial" w:eastAsia="Arial" w:hAnsi="Arial"/>
          <w:sz w:val="18"/>
          <w:szCs w:val="18"/>
          <w:color w:val="auto"/>
        </w:rPr>
        <w:t>.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43" w:lineRule="exact"/>
        <w:rPr>
          <w:rFonts w:ascii="Arial" w:cs="Arial" w:eastAsia="Arial" w:hAnsi="Arial"/>
          <w:sz w:val="18"/>
          <w:szCs w:val="18"/>
          <w:color w:val="auto"/>
        </w:rPr>
      </w:pPr>
    </w:p>
    <w:p>
      <w:pPr>
        <w:ind w:left="-20" w:right="20" w:firstLine="464"/>
        <w:spacing w:after="0" w:line="298" w:lineRule="auto"/>
        <w:tabs>
          <w:tab w:leader="none" w:pos="612"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The laws of the state of California shall govern the interpretation, validity and performance of the terms of this Agreement, regardless of the law that might be applied under principles of conflicts of law. Any suit, action or proceeding against Executive, with respect to this Agreement, or any judgment entered by any court in respect of any of such, may be brought in any court of competent jurisdiction in the State of California, and Executive hereby submits to the jurisdiction of such courts for the purpose of any such suit, action, proceeding or judgment.</w:t>
      </w:r>
    </w:p>
    <w:p>
      <w:pPr>
        <w:spacing w:after="0" w:line="112" w:lineRule="exact"/>
        <w:rPr>
          <w:rFonts w:ascii="Arial" w:cs="Arial" w:eastAsia="Arial" w:hAnsi="Arial"/>
          <w:sz w:val="16"/>
          <w:szCs w:val="16"/>
          <w:color w:val="auto"/>
        </w:rPr>
      </w:pPr>
    </w:p>
    <w:p>
      <w:pPr>
        <w:ind w:left="-20" w:firstLine="464"/>
        <w:spacing w:after="0" w:line="253" w:lineRule="auto"/>
        <w:tabs>
          <w:tab w:leader="none" w:pos="61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 of this Agreement may be modified, waived or discharged unless such waiver, modification or discharge is agreed to in writing signed by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This Agreement constitutes the entire agreement of the parties with respect to the subject matter hereof and supersedes any and all prior agreements of the parties with respect to such subject matter. No agreements or representations, oral or otherwise, expressed or implied with respect to the subject matter hereof have been made by either party which are not set forth expressly in this Agreement. References to Sections are to references to Sections of this Agreement.</w:t>
      </w:r>
    </w:p>
    <w:p>
      <w:pPr>
        <w:spacing w:after="0" w:line="147" w:lineRule="exact"/>
        <w:rPr>
          <w:rFonts w:ascii="Arial" w:cs="Arial" w:eastAsia="Arial" w:hAnsi="Arial"/>
          <w:sz w:val="18"/>
          <w:szCs w:val="18"/>
          <w:color w:val="auto"/>
        </w:rPr>
      </w:pPr>
    </w:p>
    <w:p>
      <w:pPr>
        <w:ind w:left="-20" w:right="140" w:firstLine="464"/>
        <w:spacing w:after="0" w:line="268" w:lineRule="auto"/>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31" w:lineRule="exact"/>
        <w:rPr>
          <w:rFonts w:ascii="Arial" w:cs="Arial" w:eastAsia="Arial" w:hAnsi="Arial"/>
          <w:sz w:val="18"/>
          <w:szCs w:val="18"/>
          <w:color w:val="auto"/>
        </w:rPr>
      </w:pPr>
    </w:p>
    <w:p>
      <w:pPr>
        <w:ind w:left="-20" w:right="20" w:firstLine="464"/>
        <w:spacing w:after="0" w:line="290" w:lineRule="auto"/>
        <w:tabs>
          <w:tab w:leader="none" w:pos="69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would otherwise be taxable to Executive under Section 409A, the Company may adopt such limited amendments to this Agreement and appropriate policies and procedures, including amendments and policies with retroactive effect, that the Company reasonably determines are necessary or appropriate to comply with the requirements of Section 409A and thereby avoid the application of taxes under such Section.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and delivered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CORCEPT THERAPEUTICS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James 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N. Wilson</w:t>
      </w:r>
    </w:p>
    <w:p>
      <w:pPr>
        <w:sectPr>
          <w:pgSz w:w="11900" w:h="16838" w:orient="portrait"/>
          <w:cols w:equalWidth="0" w:num="1">
            <w:col w:w="9900"/>
          </w:cols>
          <w:pgMar w:left="700" w:top="280" w:right="12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10.29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Caroline Loewy</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Offer of Employment at Corcept Therapeutics Incorporated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Caroline: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very pleased to invite you to join Corcept Therapeutics Incorporated (the “Company”) in the role of Chief Financial Officer.</w:t>
      </w:r>
    </w:p>
    <w:p>
      <w:pPr>
        <w:spacing w:after="0" w:line="165" w:lineRule="exact"/>
        <w:rPr>
          <w:sz w:val="20"/>
          <w:szCs w:val="20"/>
          <w:color w:val="auto"/>
        </w:rPr>
      </w:pPr>
    </w:p>
    <w:p>
      <w:pPr>
        <w:ind w:right="160" w:firstLine="464"/>
        <w:spacing w:after="0" w:line="275"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Duties and Responsibilities</w:t>
      </w:r>
      <w:r>
        <w:rPr>
          <w:rFonts w:ascii="Arial" w:cs="Arial" w:eastAsia="Arial" w:hAnsi="Arial"/>
          <w:sz w:val="18"/>
          <w:szCs w:val="18"/>
          <w:color w:val="auto"/>
        </w:rPr>
        <w:t>. Your initial assignment will be as Chief Financial Officer, reporting to me in my role as CEO. You will also be a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of our Executive Team. This offer is for a full time position with a start date of November 28, 2008.</w:t>
      </w:r>
    </w:p>
    <w:p>
      <w:pPr>
        <w:spacing w:after="0" w:line="119" w:lineRule="exact"/>
        <w:rPr>
          <w:rFonts w:ascii="Arial" w:cs="Arial" w:eastAsia="Arial" w:hAnsi="Arial"/>
          <w:sz w:val="18"/>
          <w:szCs w:val="18"/>
          <w:color w:val="auto"/>
        </w:rPr>
      </w:pPr>
    </w:p>
    <w:p>
      <w:pPr>
        <w:ind w:right="600" w:firstLine="464"/>
        <w:spacing w:after="0" w:line="275"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Salary</w:t>
      </w:r>
      <w:r>
        <w:rPr>
          <w:rFonts w:ascii="Arial" w:cs="Arial" w:eastAsia="Arial" w:hAnsi="Arial"/>
          <w:sz w:val="18"/>
          <w:szCs w:val="18"/>
          <w:color w:val="auto"/>
        </w:rPr>
        <w:t>. Your initial annual base salary will be $300,000 for full-time employment, payable in accordance with the Company’s customary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Salary is subject to periodic review and adjustment by the Company’s management.</w:t>
      </w:r>
    </w:p>
    <w:p>
      <w:pPr>
        <w:spacing w:after="0" w:line="119" w:lineRule="exact"/>
        <w:rPr>
          <w:rFonts w:ascii="Arial" w:cs="Arial" w:eastAsia="Arial" w:hAnsi="Arial"/>
          <w:sz w:val="18"/>
          <w:szCs w:val="18"/>
          <w:color w:val="auto"/>
        </w:rPr>
      </w:pPr>
    </w:p>
    <w:p>
      <w:pPr>
        <w:ind w:right="60" w:firstLine="464"/>
        <w:spacing w:after="0" w:line="275"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w:t>
      </w:r>
      <w:r>
        <w:rPr>
          <w:rFonts w:ascii="Arial" w:cs="Arial" w:eastAsia="Arial" w:hAnsi="Arial"/>
          <w:sz w:val="18"/>
          <w:szCs w:val="18"/>
          <w:color w:val="auto"/>
        </w:rPr>
        <w:t>. You will be eligible to receive a cash bonus up to 30% of your base salary for calendar year 2009. We expect you to be active in setting the goals</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bonus plan.</w:t>
      </w:r>
    </w:p>
    <w:p>
      <w:pPr>
        <w:spacing w:after="0" w:line="119" w:lineRule="exact"/>
        <w:rPr>
          <w:rFonts w:ascii="Arial" w:cs="Arial" w:eastAsia="Arial" w:hAnsi="Arial"/>
          <w:sz w:val="18"/>
          <w:szCs w:val="18"/>
          <w:color w:val="auto"/>
        </w:rPr>
      </w:pPr>
    </w:p>
    <w:p>
      <w:pPr>
        <w:ind w:right="20" w:firstLine="464"/>
        <w:spacing w:after="0" w:line="262"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Location</w:t>
      </w:r>
      <w:r>
        <w:rPr>
          <w:rFonts w:ascii="Arial" w:cs="Arial" w:eastAsia="Arial" w:hAnsi="Arial"/>
          <w:sz w:val="18"/>
          <w:szCs w:val="18"/>
          <w:color w:val="auto"/>
        </w:rPr>
        <w:t>. As a general rule, you will work at the Company’s principal offices in Menlo Park. Your position may also require occasional travel to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locations as may be necessary to fulfill your responsibilities. The Company will reimburse your reasonable and necessary travel expenses under its standard travel reimbursement policy.</w:t>
      </w:r>
    </w:p>
    <w:p>
      <w:pPr>
        <w:spacing w:after="0" w:line="132" w:lineRule="exact"/>
        <w:rPr>
          <w:rFonts w:ascii="Arial" w:cs="Arial" w:eastAsia="Arial" w:hAnsi="Arial"/>
          <w:sz w:val="18"/>
          <w:szCs w:val="18"/>
          <w:color w:val="auto"/>
        </w:rPr>
      </w:pPr>
    </w:p>
    <w:p>
      <w:pPr>
        <w:ind w:right="20" w:firstLine="464"/>
        <w:spacing w:after="0" w:line="339" w:lineRule="auto"/>
        <w:tabs>
          <w:tab w:leader="none" w:pos="632" w:val="left"/>
        </w:tabs>
        <w:numPr>
          <w:ilvl w:val="0"/>
          <w:numId w:val="116"/>
        </w:numPr>
        <w:rPr>
          <w:rFonts w:ascii="Arial" w:cs="Arial" w:eastAsia="Arial" w:hAnsi="Arial"/>
          <w:sz w:val="16"/>
          <w:szCs w:val="16"/>
          <w:color w:val="auto"/>
        </w:rPr>
      </w:pPr>
      <w:r>
        <w:rPr>
          <w:rFonts w:ascii="Arial" w:cs="Arial" w:eastAsia="Arial" w:hAnsi="Arial"/>
          <w:sz w:val="16"/>
          <w:szCs w:val="16"/>
          <w:b w:val="1"/>
          <w:bCs w:val="1"/>
          <w:u w:val="single" w:color="auto"/>
          <w:color w:val="auto"/>
        </w:rPr>
        <w:t>Medical, Dental and Insurance Benefits</w:t>
      </w:r>
      <w:r>
        <w:rPr>
          <w:rFonts w:ascii="Arial" w:cs="Arial" w:eastAsia="Arial" w:hAnsi="Arial"/>
          <w:sz w:val="16"/>
          <w:szCs w:val="16"/>
          <w:color w:val="auto"/>
        </w:rPr>
        <w:t>. You will be eligible to receive the Company’s standard employee benefits package. Information regarding our</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benefit plans can be discussed with Mark Strem, our Director of Business Operations, by calling him at 650-688-8809.</w:t>
      </w:r>
    </w:p>
    <w:p>
      <w:pPr>
        <w:spacing w:after="0" w:line="74" w:lineRule="exact"/>
        <w:rPr>
          <w:rFonts w:ascii="Arial" w:cs="Arial" w:eastAsia="Arial" w:hAnsi="Arial"/>
          <w:sz w:val="16"/>
          <w:szCs w:val="16"/>
          <w:color w:val="auto"/>
        </w:rPr>
      </w:pPr>
    </w:p>
    <w:p>
      <w:pPr>
        <w:ind w:right="760" w:firstLine="464"/>
        <w:spacing w:after="0" w:line="275"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Benefits</w:t>
      </w:r>
      <w:r>
        <w:rPr>
          <w:rFonts w:ascii="Arial" w:cs="Arial" w:eastAsia="Arial" w:hAnsi="Arial"/>
          <w:sz w:val="18"/>
          <w:szCs w:val="18"/>
          <w:color w:val="auto"/>
        </w:rPr>
        <w:t>. You will receive the same benefits, including separation and change of control benefits currently in place for the rest of senior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w:t>
      </w:r>
    </w:p>
    <w:p>
      <w:pPr>
        <w:spacing w:after="0" w:line="119" w:lineRule="exact"/>
        <w:rPr>
          <w:rFonts w:ascii="Arial" w:cs="Arial" w:eastAsia="Arial" w:hAnsi="Arial"/>
          <w:sz w:val="18"/>
          <w:szCs w:val="18"/>
          <w:color w:val="auto"/>
        </w:rPr>
      </w:pPr>
    </w:p>
    <w:p>
      <w:pPr>
        <w:ind w:right="300" w:firstLine="464"/>
        <w:spacing w:after="0" w:line="275"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 and Holidays</w:t>
      </w:r>
      <w:r>
        <w:rPr>
          <w:rFonts w:ascii="Arial" w:cs="Arial" w:eastAsia="Arial" w:hAnsi="Arial"/>
          <w:sz w:val="18"/>
          <w:szCs w:val="18"/>
          <w:color w:val="auto"/>
        </w:rPr>
        <w:t>. You will accrue vacation at the rate of three (3) weeks per year, assuming full-time employment. You also 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take all paid holidays under the Company’s then-current schedule.</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October 21, 2008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ind w:firstLine="464"/>
        <w:spacing w:after="0" w:line="262" w:lineRule="auto"/>
        <w:tabs>
          <w:tab w:leader="none" w:pos="632"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w:t>
      </w:r>
      <w:r>
        <w:rPr>
          <w:rFonts w:ascii="Arial" w:cs="Arial" w:eastAsia="Arial" w:hAnsi="Arial"/>
          <w:sz w:val="18"/>
          <w:szCs w:val="18"/>
          <w:color w:val="auto"/>
        </w:rPr>
        <w:t>. The executive management of the Company will recommend that the Board of Directors grant you a stock option to purchase 800,000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Company’s Common Stock under the terms of the Company’s 2004 Stock Option Plan. We will endeavor to have our Board of Directors approve the grant of the award with the following terms:</w:t>
      </w:r>
    </w:p>
    <w:p>
      <w:pPr>
        <w:spacing w:after="0" w:line="13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exercise price for this option will be based on the closing price of the Company’s stock as of the date of Board Approval, or the first day of your employment, whichever occurs later.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Following your formal written acceptance of the stock option award, the option will become vested according to the following schedule:</w:t>
      </w:r>
    </w:p>
    <w:p>
      <w:pPr>
        <w:spacing w:after="0" w:line="90" w:lineRule="exact"/>
        <w:rPr>
          <w:sz w:val="20"/>
          <w:szCs w:val="20"/>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25% of the option shares will vest after one year of continuous employment; and</w:t>
      </w:r>
    </w:p>
    <w:p>
      <w:pPr>
        <w:spacing w:after="0" w:line="9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additional 1/48th of the option shares (2.0834% of the total option grant) will vest each succeeding month during the term of the option, so that the entire option is vested after four years of continuous employment.</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If at any time in the future your employment status changes from full-time to part-time, there will be a proportionate reduction of the option shares that have not yet vested at the time of such change in status.</w:t>
      </w:r>
    </w:p>
    <w:p>
      <w:pPr>
        <w:spacing w:after="0" w:line="126" w:lineRule="exact"/>
        <w:rPr>
          <w:sz w:val="20"/>
          <w:szCs w:val="20"/>
          <w:color w:val="auto"/>
        </w:rPr>
      </w:pPr>
    </w:p>
    <w:p>
      <w:pPr>
        <w:ind w:right="120" w:firstLine="464"/>
        <w:spacing w:after="0" w:line="296" w:lineRule="auto"/>
        <w:tabs>
          <w:tab w:leader="none" w:pos="632" w:val="left"/>
        </w:tabs>
        <w:numPr>
          <w:ilvl w:val="0"/>
          <w:numId w:val="119"/>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 Information; Employee Inventions and Confidentiality Agreement</w:t>
      </w:r>
      <w:r>
        <w:rPr>
          <w:rFonts w:ascii="Arial" w:cs="Arial" w:eastAsia="Arial" w:hAnsi="Arial"/>
          <w:sz w:val="16"/>
          <w:szCs w:val="16"/>
          <w:color w:val="auto"/>
        </w:rPr>
        <w:t>. To enable the Company to safeguard its proprietary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it is a condition of employment that you agree to sign the Company’s standard form of “Employee Inventions and Confidentiality Agreement.” A copy of this agreement will be given to for your review upon your arrival at Corcept. We understand that you are likely to have signed similar agreements with prior employers, and wish to impress upon you that the Company does not want to receive the confidential or proprietary information of others, and will support you in respecting your lawful obligations to prior employers.</w:t>
      </w:r>
    </w:p>
    <w:p>
      <w:pPr>
        <w:spacing w:after="0" w:line="107" w:lineRule="exact"/>
        <w:rPr>
          <w:rFonts w:ascii="Arial" w:cs="Arial" w:eastAsia="Arial" w:hAnsi="Arial"/>
          <w:sz w:val="16"/>
          <w:szCs w:val="16"/>
          <w:color w:val="auto"/>
        </w:rPr>
      </w:pPr>
    </w:p>
    <w:p>
      <w:pPr>
        <w:ind w:right="120" w:firstLine="464"/>
        <w:spacing w:after="0" w:line="310" w:lineRule="auto"/>
        <w:tabs>
          <w:tab w:leader="none" w:pos="720" w:val="left"/>
        </w:tabs>
        <w:numPr>
          <w:ilvl w:val="0"/>
          <w:numId w:val="119"/>
        </w:numPr>
        <w:rPr>
          <w:rFonts w:ascii="Arial" w:cs="Arial" w:eastAsia="Arial" w:hAnsi="Arial"/>
          <w:sz w:val="16"/>
          <w:szCs w:val="16"/>
          <w:color w:val="auto"/>
        </w:rPr>
      </w:pPr>
      <w:r>
        <w:rPr>
          <w:rFonts w:ascii="Arial" w:cs="Arial" w:eastAsia="Arial" w:hAnsi="Arial"/>
          <w:sz w:val="16"/>
          <w:szCs w:val="16"/>
          <w:b w:val="1"/>
          <w:bCs w:val="1"/>
          <w:u w:val="single" w:color="auto"/>
          <w:color w:val="auto"/>
        </w:rPr>
        <w:t>At-Will Employment</w:t>
      </w:r>
      <w:r>
        <w:rPr>
          <w:rFonts w:ascii="Arial" w:cs="Arial" w:eastAsia="Arial" w:hAnsi="Arial"/>
          <w:sz w:val="16"/>
          <w:szCs w:val="16"/>
          <w:color w:val="auto"/>
        </w:rPr>
        <w:t>. While we look forward to a long and mutually beneficial relationship, should you decide to accept our offer you will be an “at-will” employee of the Company. This means that either you or the Company may terminate the employment relationship with or without cause at any time. Participation in any stock option, benefit or incentive program does not assure continuing employment for any particular period of time.</w:t>
      </w:r>
    </w:p>
    <w:p>
      <w:pPr>
        <w:sectPr>
          <w:pgSz w:w="11900" w:h="16838" w:orient="portrait"/>
          <w:cols w:equalWidth="0" w:num="1">
            <w:col w:w="11420"/>
          </w:cols>
          <w:pgMar w:left="240" w:top="2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October 21, 2008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59" w:lineRule="exact"/>
        <w:rPr>
          <w:sz w:val="20"/>
          <w:szCs w:val="20"/>
          <w:color w:val="auto"/>
        </w:rPr>
      </w:pPr>
    </w:p>
    <w:p>
      <w:pPr>
        <w:ind w:left="720" w:hanging="256"/>
        <w:spacing w:after="0"/>
        <w:tabs>
          <w:tab w:leader="none" w:pos="720" w:val="left"/>
        </w:tabs>
        <w:numPr>
          <w:ilvl w:val="0"/>
          <w:numId w:val="120"/>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Authorization to Work</w:t>
      </w:r>
      <w:r>
        <w:rPr>
          <w:rFonts w:ascii="Arial" w:cs="Arial" w:eastAsia="Arial" w:hAnsi="Arial"/>
          <w:sz w:val="16"/>
          <w:szCs w:val="16"/>
          <w:color w:val="auto"/>
        </w:rPr>
        <w:t>. Federal government regulations require that all prospective employees present documentation of their identity and</w:t>
      </w:r>
    </w:p>
    <w:p>
      <w:pPr>
        <w:spacing w:after="0" w:line="44"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demonstrate that they are authorized to work in the United States. If you have any questions about this requirement, which applies to U.S. citizens and non-U.S. citizens alike, please contact Mark Strem, our Director of Business Operations at 650-688-8809.</w:t>
      </w:r>
    </w:p>
    <w:p>
      <w:pPr>
        <w:spacing w:after="0" w:line="131" w:lineRule="exact"/>
        <w:rPr>
          <w:rFonts w:ascii="Arial" w:cs="Arial" w:eastAsia="Arial" w:hAnsi="Arial"/>
          <w:sz w:val="16"/>
          <w:szCs w:val="16"/>
          <w:color w:val="auto"/>
        </w:rPr>
      </w:pPr>
    </w:p>
    <w:p>
      <w:pPr>
        <w:ind w:right="160" w:firstLine="464"/>
        <w:spacing w:after="0" w:line="262" w:lineRule="auto"/>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Complete Offer and Agreement</w:t>
      </w:r>
      <w:r>
        <w:rPr>
          <w:rFonts w:ascii="Arial" w:cs="Arial" w:eastAsia="Arial" w:hAnsi="Arial"/>
          <w:sz w:val="18"/>
          <w:szCs w:val="18"/>
          <w:color w:val="auto"/>
        </w:rPr>
        <w:t>. This letter contains our complete understanding and agreement regarding the terms of your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There are no other, different or prior agreements or understandings on this or related subjects. Changes to the terms of your employment can be made only in a writing signed by you and an authorized executive of the Company.</w:t>
      </w:r>
    </w:p>
    <w:p>
      <w:pPr>
        <w:spacing w:after="0" w:line="132" w:lineRule="exact"/>
        <w:rPr>
          <w:rFonts w:ascii="Arial" w:cs="Arial" w:eastAsia="Arial" w:hAnsi="Arial"/>
          <w:sz w:val="18"/>
          <w:szCs w:val="18"/>
          <w:color w:val="auto"/>
        </w:rPr>
      </w:pPr>
    </w:p>
    <w:p>
      <w:pPr>
        <w:ind w:right="160" w:firstLine="464"/>
        <w:spacing w:after="0" w:line="339" w:lineRule="auto"/>
        <w:tabs>
          <w:tab w:leader="none" w:pos="720" w:val="left"/>
        </w:tabs>
        <w:numPr>
          <w:ilvl w:val="0"/>
          <w:numId w:val="120"/>
        </w:numPr>
        <w:rPr>
          <w:rFonts w:ascii="Arial" w:cs="Arial" w:eastAsia="Arial" w:hAnsi="Arial"/>
          <w:sz w:val="16"/>
          <w:szCs w:val="16"/>
          <w:color w:val="auto"/>
        </w:rPr>
      </w:pPr>
      <w:r>
        <w:rPr>
          <w:rFonts w:ascii="Arial" w:cs="Arial" w:eastAsia="Arial" w:hAnsi="Arial"/>
          <w:sz w:val="16"/>
          <w:szCs w:val="16"/>
          <w:b w:val="1"/>
          <w:bCs w:val="1"/>
          <w:u w:val="single" w:color="auto"/>
          <w:color w:val="auto"/>
        </w:rPr>
        <w:t>Start Date; Acceptance of Offer</w:t>
      </w:r>
      <w:r>
        <w:rPr>
          <w:rFonts w:ascii="Arial" w:cs="Arial" w:eastAsia="Arial" w:hAnsi="Arial"/>
          <w:sz w:val="16"/>
          <w:szCs w:val="16"/>
          <w:color w:val="auto"/>
        </w:rPr>
        <w:t>. We hope that you will accept this offer promptly, and begin your full-time employment at Corcept Therapeutics by</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28, 2008. If our offer is acceptable to you, please sign the letter in the space indicated and return only that page to me via fax at 650-327-3218.</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we have discussed, Caroline, our team was impressed by your accomplishments and potential, and we are enthusiastic at the prospect of you joining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your early acceptance of this offer, and to your contributions to the growth and success of Corcept Therapeutics Incorporated.</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K. Belanoff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CCEPTANCE OF EMPLOYMENT OFFER</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accept the offer of employment by Corcept Therapeutics Incorporated on the terms described in this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Caroline M. Loewy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28,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My start date will be: November 28, 2008</w:t>
      </w:r>
    </w:p>
    <w:p>
      <w:pPr>
        <w:sectPr>
          <w:pgSz w:w="11900" w:h="16838" w:orient="portrait"/>
          <w:cols w:equalWidth="0" w:num="1">
            <w:col w:w="11420"/>
          </w:cols>
          <w:pgMar w:left="240" w:top="280"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REGISTRATION RIGHTS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11, 2008</w:t>
      </w:r>
    </w:p>
    <w:p>
      <w:pPr>
        <w:spacing w:after="0" w:line="17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This Amendment to Registration Rights Agreement (the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November 11, 2008 by and among Corcept Therapeutics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other parties signatory hereto (each a “</w:t>
      </w:r>
      <w:r>
        <w:rPr>
          <w:rFonts w:ascii="Arial" w:cs="Arial" w:eastAsia="Arial" w:hAnsi="Arial"/>
          <w:sz w:val="18"/>
          <w:szCs w:val="18"/>
          <w:b w:val="1"/>
          <w:b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color w:val="auto"/>
        </w:rPr>
        <w:t>Holders</w:t>
      </w:r>
      <w:r>
        <w:rPr>
          <w:rFonts w:ascii="Arial" w:cs="Arial" w:eastAsia="Arial" w:hAnsi="Arial"/>
          <w:sz w:val="18"/>
          <w:szCs w:val="18"/>
          <w:color w:val="auto"/>
        </w:rPr>
        <w:t>”). Reference is made to that certain Registration Rights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made and entered into as of March 14, 2008, by and among Corcept Therapeutics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investors signatory thereto. Capitalized terms used herein without definition shall have the meanings assigned to them in the Agreement.</w:t>
      </w:r>
    </w:p>
    <w:p>
      <w:pPr>
        <w:spacing w:after="0" w:line="145"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WHEREAS, pursuant to Section 2(a) of the Agreement, the Company prepared and filed with the Commission on April 11, 2008 a Registration Statement on Form S-3 (File No. 333-150204)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covering the resale of the Registrable Securities, which Registration Statement was declared effective by the Commission on November 10, 2008;</w:t>
      </w:r>
    </w:p>
    <w:p>
      <w:pPr>
        <w:spacing w:after="0" w:line="140"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WHEREAS, pursuant to Section 2(c) of the Agreement, the Company is required to pay to each Holder Liquidated Damages in an amount equal to 5.0667% of the aggregate purchase price paid by such Holder pursuant to the Purchase Agreement for its Registrable Securities, as a result of the Registration Statement not being declared effective during the period from July 8, 2008 through November 10, 2008 (the “</w:t>
      </w:r>
      <w:r>
        <w:rPr>
          <w:rFonts w:ascii="Arial" w:cs="Arial" w:eastAsia="Arial" w:hAnsi="Arial"/>
          <w:sz w:val="16"/>
          <w:szCs w:val="16"/>
          <w:b w:val="1"/>
          <w:bCs w:val="1"/>
          <w:color w:val="auto"/>
        </w:rPr>
        <w:t>Liquidated Damages Amount</w:t>
      </w:r>
      <w:r>
        <w:rPr>
          <w:rFonts w:ascii="Arial" w:cs="Arial" w:eastAsia="Arial" w:hAnsi="Arial"/>
          <w:sz w:val="16"/>
          <w:szCs w:val="16"/>
          <w:color w:val="auto"/>
        </w:rPr>
        <w:t>”);</w:t>
      </w:r>
    </w:p>
    <w:p>
      <w:pPr>
        <w:spacing w:after="0" w:line="10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WHEREAS, Section 6(g) of the Agreement provides that the Agreement may be amended with the written consent of the Company and the Holders of no less than eighty percent of the then outstanding Registrable Securities; and</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WHEREAS, the Company and the Holders signatory hereto wish to amend the Agreement pursuant to Section 6(g) of the Agreement to provide that the Liquidated Damages Amount shall be payable in shares of the Company’s Common Stock valued at the closing market price of the Common Stock on the NASDAQ Capital Market November 11, 2008, rounded down to the nearest whole share.</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CONSIDERATION of the mutual covenants contained in this Amendment, and for other good and valuable consideration the receipt and adequacy of which are hereby acknowledged, the Company and the Holders agree as follows:</w:t>
      </w:r>
    </w:p>
    <w:p>
      <w:pPr>
        <w:spacing w:after="0" w:line="132" w:lineRule="exact"/>
        <w:rPr>
          <w:sz w:val="20"/>
          <w:szCs w:val="20"/>
          <w:color w:val="auto"/>
        </w:rPr>
      </w:pPr>
    </w:p>
    <w:p>
      <w:pPr>
        <w:ind w:right="160" w:firstLine="464"/>
        <w:spacing w:after="0" w:line="303" w:lineRule="auto"/>
        <w:tabs>
          <w:tab w:leader="none" w:pos="632" w:val="left"/>
        </w:tabs>
        <w:numPr>
          <w:ilvl w:val="0"/>
          <w:numId w:val="121"/>
        </w:numPr>
        <w:rPr>
          <w:rFonts w:ascii="Arial" w:cs="Arial" w:eastAsia="Arial" w:hAnsi="Arial"/>
          <w:sz w:val="15"/>
          <w:szCs w:val="15"/>
          <w:color w:val="auto"/>
        </w:rPr>
      </w:pPr>
      <w:r>
        <w:rPr>
          <w:rFonts w:ascii="Arial" w:cs="Arial" w:eastAsia="Arial" w:hAnsi="Arial"/>
          <w:sz w:val="15"/>
          <w:szCs w:val="15"/>
          <w:color w:val="auto"/>
        </w:rPr>
        <w:t>Notwithstanding anything in the Agreement to the contrary, the Liquidated Damages Amount payable to each Holder shall be payable in the number of newly issued shares of Common Stock, rounded down to the nearest whole share, equal to the Liquidated Damages Amount payable to such Holder divided by $1.45 (the closing market price of the Common Stock on the NASDAQ Capital Market on November 11, 2008) (the “</w:t>
      </w:r>
      <w:r>
        <w:rPr>
          <w:rFonts w:ascii="Arial" w:cs="Arial" w:eastAsia="Arial" w:hAnsi="Arial"/>
          <w:sz w:val="15"/>
          <w:szCs w:val="15"/>
          <w:b w:val="1"/>
          <w:bCs w:val="1"/>
          <w:color w:val="auto"/>
        </w:rPr>
        <w:t>Liquidated Damages Share Amount</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right="160"/>
        <w:spacing w:after="0" w:line="331" w:lineRule="auto"/>
        <w:rPr>
          <w:rFonts w:ascii="Arial" w:cs="Arial" w:eastAsia="Arial" w:hAnsi="Arial"/>
          <w:sz w:val="15"/>
          <w:szCs w:val="15"/>
          <w:color w:val="auto"/>
        </w:rPr>
      </w:pPr>
      <w:r>
        <w:rPr>
          <w:rFonts w:ascii="Arial" w:cs="Arial" w:eastAsia="Arial" w:hAnsi="Arial"/>
          <w:sz w:val="15"/>
          <w:szCs w:val="15"/>
          <w:color w:val="auto"/>
        </w:rPr>
        <w:t xml:space="preserve">The Liquidated Damages Share Amount payable to each Holder is set forth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hereto. The Liquidated Damages Share Amount shall be the sole payment by the Company for any and all damages of the Holders arising out of the Registration Statement not being declared effective by the Commission prior to November 10, 2008. The Liquidated Damages Share Amount shall be delivered to each holder as promptly as practicable after the date of this Amendment.</w:t>
      </w:r>
    </w:p>
    <w:p>
      <w:pPr>
        <w:sectPr>
          <w:pgSz w:w="11900" w:h="16838" w:orient="portrait"/>
          <w:cols w:equalWidth="0" w:num="1">
            <w:col w:w="11420"/>
          </w:cols>
          <w:pgMar w:left="240" w:top="125" w:right="239" w:bottom="1440" w:gutter="0" w:footer="0" w:header="0"/>
        </w:sectPr>
      </w:pPr>
    </w:p>
    <w:bookmarkStart w:id="155" w:name="page156"/>
    <w:bookmarkEnd w:id="155"/>
    <w:p>
      <w:pPr>
        <w:ind w:left="-464" w:right="360" w:firstLine="464"/>
        <w:spacing w:after="0" w:line="268" w:lineRule="auto"/>
        <w:tabs>
          <w:tab w:leader="none" w:pos="1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shall be governed by and construed in accordance with the laws of the State of New York as applied to contracts entered into and performed entirely in New York by New York residents.</w:t>
      </w:r>
    </w:p>
    <w:p>
      <w:pPr>
        <w:spacing w:after="0" w:line="131" w:lineRule="exact"/>
        <w:rPr>
          <w:rFonts w:ascii="Arial" w:cs="Arial" w:eastAsia="Arial" w:hAnsi="Arial"/>
          <w:sz w:val="18"/>
          <w:szCs w:val="18"/>
          <w:color w:val="auto"/>
        </w:rPr>
      </w:pPr>
    </w:p>
    <w:p>
      <w:pPr>
        <w:jc w:val="both"/>
        <w:ind w:left="-464" w:firstLine="464"/>
        <w:spacing w:after="0" w:line="259" w:lineRule="auto"/>
        <w:tabs>
          <w:tab w:leader="none" w:pos="1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expressly modified by this Amendment, the Agreement shall continue in full force and effect according to its terms, and the signatories below hereby ratify and affirm all their respective rights and obligations under the Agreement as amended by this Amendment. In the event of any conflict between this Amendment and the Agreement, this Amendment shall govern.</w:t>
      </w:r>
    </w:p>
    <w:p>
      <w:pPr>
        <w:spacing w:after="0" w:line="140" w:lineRule="exact"/>
        <w:rPr>
          <w:rFonts w:ascii="Arial" w:cs="Arial" w:eastAsia="Arial" w:hAnsi="Arial"/>
          <w:sz w:val="18"/>
          <w:szCs w:val="18"/>
          <w:color w:val="auto"/>
        </w:rPr>
      </w:pPr>
    </w:p>
    <w:p>
      <w:pPr>
        <w:jc w:val="both"/>
        <w:ind w:left="-464" w:right="80" w:firstLine="464"/>
        <w:spacing w:after="0" w:line="256" w:lineRule="auto"/>
        <w:tabs>
          <w:tab w:leader="none" w:pos="1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when so executed shall be deemed to be an original and, all of which taken together shall constitute one and the same Amendment.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sectPr>
          <w:pgSz w:w="11900" w:h="16838" w:orient="portrait"/>
          <w:cols w:equalWidth="0" w:num="1">
            <w:col w:w="10856"/>
          </w:cols>
          <w:pgMar w:left="704" w:top="280" w:right="3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Amendment to Registration Rights Agreement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CORCEPT THERAPEUTICS INCORPORATED</w:t>
      </w:r>
    </w:p>
    <w:p>
      <w:pPr>
        <w:spacing w:after="0" w:line="248"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Joseph K. Belanoff, M.D.</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ectPr>
          <w:pgSz w:w="11900" w:h="16838" w:orient="portrait"/>
          <w:cols w:equalWidth="0" w:num="1">
            <w:col w:w="9900"/>
          </w:cols>
          <w:pgMar w:left="700" w:top="280" w:right="12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Holder</w:t>
      </w:r>
    </w:p>
    <w:p>
      <w:pPr>
        <w:spacing w:after="0" w:line="212"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color w:val="auto"/>
        </w:rPr>
        <w:t>Longitude Venture Partners, L.P., a Delaware limited partnership By: Longitude Capital Partners, LLC Its: General Partner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Patrick Enright</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Patrick Enright</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41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Paperboy Ventures, LLC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Anthony C. Garland</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Anthony C. Garland</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CFO &amp; Managing Director</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2008 Cook Grantor Retained Annuity Trust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Joseph C. Cook, III</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Joseph C. Cook, III</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Trustee</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 Mahoney &amp; Winnifred C. Ellis 1998 Family Trust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L. Mahoney</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00" w:type="dxa"/>
            <w:vAlign w:val="bottom"/>
          </w:tcPr>
          <w:p>
            <w:pPr>
              <w:ind w:left="100"/>
              <w:spacing w:after="0" w:line="203" w:lineRule="exact"/>
              <w:rPr>
                <w:sz w:val="20"/>
                <w:szCs w:val="20"/>
                <w:color w:val="auto"/>
              </w:rPr>
            </w:pPr>
            <w:r>
              <w:rPr>
                <w:rFonts w:ascii="Arial" w:cs="Arial" w:eastAsia="Arial" w:hAnsi="Arial"/>
                <w:sz w:val="18"/>
                <w:szCs w:val="18"/>
                <w:color w:val="auto"/>
              </w:rPr>
              <w:t>David L. Mahoney</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00"/>
              <w:spacing w:after="0"/>
              <w:rPr>
                <w:sz w:val="20"/>
                <w:szCs w:val="20"/>
                <w:color w:val="auto"/>
              </w:rPr>
            </w:pPr>
            <w:r>
              <w:rPr>
                <w:rFonts w:ascii="Arial" w:cs="Arial" w:eastAsia="Arial" w:hAnsi="Arial"/>
                <w:sz w:val="18"/>
                <w:szCs w:val="18"/>
                <w:color w:val="auto"/>
              </w:rPr>
              <w:t>Trustee</w:t>
            </w:r>
          </w:p>
        </w:tc>
      </w:tr>
    </w:tbl>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Sutter Hill Ventures, a California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-481965</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gridSpan w:val="2"/>
          </w:tcPr>
          <w:p>
            <w:pPr>
              <w:ind w:left="1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G. Leonard Baker, Jr.</w:t>
            </w:r>
          </w:p>
        </w:tc>
      </w:tr>
      <w:tr>
        <w:trPr>
          <w:trHeight w:val="202"/>
        </w:trPr>
        <w:tc>
          <w:tcPr>
            <w:tcW w:w="60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86"/>
              </w:rPr>
              <w:t>Name:</w:t>
            </w:r>
          </w:p>
        </w:tc>
        <w:tc>
          <w:tcPr>
            <w:tcW w:w="20" w:type="dxa"/>
            <w:vAlign w:val="bottom"/>
          </w:tcPr>
          <w:p>
            <w:pPr>
              <w:spacing w:after="0"/>
              <w:rPr>
                <w:sz w:val="17"/>
                <w:szCs w:val="17"/>
                <w:color w:val="auto"/>
              </w:rPr>
            </w:pPr>
          </w:p>
        </w:tc>
        <w:tc>
          <w:tcPr>
            <w:tcW w:w="4900" w:type="dxa"/>
            <w:vAlign w:val="bottom"/>
          </w:tcPr>
          <w:p>
            <w:pPr>
              <w:ind w:left="80"/>
              <w:spacing w:after="0" w:line="202" w:lineRule="exact"/>
              <w:rPr>
                <w:sz w:val="20"/>
                <w:szCs w:val="20"/>
                <w:color w:val="auto"/>
              </w:rPr>
            </w:pPr>
            <w:r>
              <w:rPr>
                <w:rFonts w:ascii="Arial" w:cs="Arial" w:eastAsia="Arial" w:hAnsi="Arial"/>
                <w:sz w:val="18"/>
                <w:szCs w:val="18"/>
                <w:color w:val="auto"/>
              </w:rPr>
              <w:t>G. Leonard Baker, Jr.</w:t>
            </w:r>
          </w:p>
        </w:tc>
      </w:tr>
      <w:tr>
        <w:trPr>
          <w:trHeight w:val="222"/>
        </w:trPr>
        <w:tc>
          <w:tcPr>
            <w:tcW w:w="58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auto"/>
              </w:rPr>
              <w:t>Managing Director of the General Partner</w:t>
            </w:r>
          </w:p>
        </w:tc>
      </w:tr>
      <w:tr>
        <w:trPr>
          <w:trHeight w:val="419"/>
        </w:trPr>
        <w:tc>
          <w:tcPr>
            <w:tcW w:w="5520" w:type="dxa"/>
            <w:vAlign w:val="bottom"/>
            <w:gridSpan w:val="5"/>
          </w:tcPr>
          <w:p>
            <w:pPr>
              <w:ind w:left="120"/>
              <w:spacing w:after="0"/>
              <w:rPr>
                <w:sz w:val="20"/>
                <w:szCs w:val="20"/>
                <w:color w:val="auto"/>
              </w:rPr>
            </w:pPr>
            <w:r>
              <w:rPr>
                <w:rFonts w:ascii="Arial" w:cs="Arial" w:eastAsia="Arial" w:hAnsi="Arial"/>
                <w:sz w:val="18"/>
                <w:szCs w:val="18"/>
                <w:b w:val="1"/>
                <w:bCs w:val="1"/>
                <w:color w:val="auto"/>
              </w:rPr>
              <w:t>Alta BioPharma Partners II, L.P.</w:t>
            </w:r>
          </w:p>
        </w:tc>
      </w:tr>
      <w:tr>
        <w:trPr>
          <w:trHeight w:val="433"/>
        </w:trPr>
        <w:tc>
          <w:tcPr>
            <w:tcW w:w="580" w:type="dxa"/>
            <w:vAlign w:val="bottom"/>
            <w:gridSpan w:val="2"/>
          </w:tcPr>
          <w:p>
            <w:pPr>
              <w:ind w:left="1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Hilary Strain</w:t>
            </w:r>
          </w:p>
        </w:tc>
      </w:tr>
      <w:tr>
        <w:trPr>
          <w:trHeight w:val="202"/>
        </w:trPr>
        <w:tc>
          <w:tcPr>
            <w:tcW w:w="60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86"/>
              </w:rPr>
              <w:t>Name:</w:t>
            </w:r>
          </w:p>
        </w:tc>
        <w:tc>
          <w:tcPr>
            <w:tcW w:w="20" w:type="dxa"/>
            <w:vAlign w:val="bottom"/>
          </w:tcPr>
          <w:p>
            <w:pPr>
              <w:spacing w:after="0"/>
              <w:rPr>
                <w:sz w:val="17"/>
                <w:szCs w:val="17"/>
                <w:color w:val="auto"/>
              </w:rPr>
            </w:pPr>
          </w:p>
        </w:tc>
        <w:tc>
          <w:tcPr>
            <w:tcW w:w="4900" w:type="dxa"/>
            <w:vAlign w:val="bottom"/>
          </w:tcPr>
          <w:p>
            <w:pPr>
              <w:ind w:left="80"/>
              <w:spacing w:after="0" w:line="202" w:lineRule="exact"/>
              <w:rPr>
                <w:sz w:val="20"/>
                <w:szCs w:val="20"/>
                <w:color w:val="auto"/>
              </w:rPr>
            </w:pPr>
            <w:r>
              <w:rPr>
                <w:rFonts w:ascii="Arial" w:cs="Arial" w:eastAsia="Arial" w:hAnsi="Arial"/>
                <w:sz w:val="18"/>
                <w:szCs w:val="18"/>
                <w:color w:val="auto"/>
              </w:rPr>
              <w:t>Hilary Strain</w:t>
            </w:r>
          </w:p>
        </w:tc>
      </w:tr>
      <w:tr>
        <w:trPr>
          <w:trHeight w:val="222"/>
        </w:trPr>
        <w:tc>
          <w:tcPr>
            <w:tcW w:w="58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auto"/>
              </w:rPr>
              <w:t>Vice President of Finance &amp; Administration</w:t>
            </w:r>
          </w:p>
        </w:tc>
      </w:tr>
      <w:tr>
        <w:trPr>
          <w:trHeight w:val="419"/>
        </w:trPr>
        <w:tc>
          <w:tcPr>
            <w:tcW w:w="5520" w:type="dxa"/>
            <w:vAlign w:val="bottom"/>
            <w:gridSpan w:val="5"/>
          </w:tcPr>
          <w:p>
            <w:pPr>
              <w:ind w:left="100"/>
              <w:spacing w:after="0"/>
              <w:rPr>
                <w:sz w:val="20"/>
                <w:szCs w:val="20"/>
                <w:color w:val="auto"/>
              </w:rPr>
            </w:pPr>
            <w:r>
              <w:rPr>
                <w:rFonts w:ascii="Arial" w:cs="Arial" w:eastAsia="Arial" w:hAnsi="Arial"/>
                <w:sz w:val="18"/>
                <w:szCs w:val="18"/>
                <w:b w:val="1"/>
                <w:bCs w:val="1"/>
                <w:color w:val="auto"/>
              </w:rPr>
              <w:t>Alta Embarcadero BioPharma Partners II, LLC</w:t>
            </w:r>
          </w:p>
        </w:tc>
      </w:tr>
      <w:tr>
        <w:trPr>
          <w:trHeight w:val="432"/>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Hilary Strain</w:t>
            </w:r>
          </w:p>
        </w:tc>
      </w:tr>
      <w:tr>
        <w:trPr>
          <w:trHeight w:val="203"/>
        </w:trPr>
        <w:tc>
          <w:tcPr>
            <w:tcW w:w="580" w:type="dxa"/>
            <w:vAlign w:val="bottom"/>
            <w:gridSpan w:val="2"/>
          </w:tcPr>
          <w:p>
            <w:pPr>
              <w:ind w:left="100"/>
              <w:spacing w:after="0" w:line="203" w:lineRule="exact"/>
              <w:rPr>
                <w:sz w:val="20"/>
                <w:szCs w:val="20"/>
                <w:color w:val="auto"/>
              </w:rPr>
            </w:pPr>
            <w:r>
              <w:rPr>
                <w:rFonts w:ascii="Arial" w:cs="Arial" w:eastAsia="Arial" w:hAnsi="Arial"/>
                <w:sz w:val="18"/>
                <w:szCs w:val="18"/>
                <w:color w:val="auto"/>
                <w:w w:val="86"/>
              </w:rPr>
              <w:t>Name: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Arial" w:cs="Arial" w:eastAsia="Arial" w:hAnsi="Arial"/>
                <w:sz w:val="18"/>
                <w:szCs w:val="18"/>
                <w:color w:val="auto"/>
              </w:rPr>
              <w:t>Hilary Strain</w:t>
            </w:r>
          </w:p>
        </w:tc>
      </w:tr>
      <w:tr>
        <w:trPr>
          <w:trHeight w:val="222"/>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ind w:left="60"/>
              <w:spacing w:after="0"/>
              <w:rPr>
                <w:sz w:val="20"/>
                <w:szCs w:val="20"/>
                <w:color w:val="auto"/>
              </w:rPr>
            </w:pPr>
            <w:r>
              <w:rPr>
                <w:rFonts w:ascii="Arial" w:cs="Arial" w:eastAsia="Arial" w:hAnsi="Arial"/>
                <w:sz w:val="18"/>
                <w:szCs w:val="18"/>
                <w:color w:val="auto"/>
              </w:rPr>
              <w:t>Vice President of Finance &amp; Administration</w:t>
            </w:r>
          </w:p>
        </w:tc>
      </w:tr>
      <w:tr>
        <w:trPr>
          <w:trHeight w:val="419"/>
        </w:trPr>
        <w:tc>
          <w:tcPr>
            <w:tcW w:w="5520" w:type="dxa"/>
            <w:vAlign w:val="bottom"/>
            <w:gridSpan w:val="5"/>
          </w:tcPr>
          <w:p>
            <w:pPr>
              <w:ind w:left="140"/>
              <w:spacing w:after="0"/>
              <w:rPr>
                <w:sz w:val="20"/>
                <w:szCs w:val="20"/>
                <w:color w:val="auto"/>
              </w:rPr>
            </w:pPr>
            <w:r>
              <w:rPr>
                <w:rFonts w:ascii="Arial" w:cs="Arial" w:eastAsia="Arial" w:hAnsi="Arial"/>
                <w:sz w:val="18"/>
                <w:szCs w:val="18"/>
                <w:b w:val="1"/>
                <w:bCs w:val="1"/>
                <w:color w:val="auto"/>
              </w:rPr>
              <w:t>James N. &amp; Pamela Wilson Trust</w:t>
            </w:r>
          </w:p>
        </w:tc>
      </w:tr>
      <w:tr>
        <w:trPr>
          <w:trHeight w:val="433"/>
        </w:trPr>
        <w:tc>
          <w:tcPr>
            <w:tcW w:w="58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Wilson</w:t>
            </w:r>
          </w:p>
        </w:tc>
      </w:tr>
      <w:tr>
        <w:trPr>
          <w:trHeight w:val="202"/>
        </w:trPr>
        <w:tc>
          <w:tcPr>
            <w:tcW w:w="620" w:type="dxa"/>
            <w:vAlign w:val="bottom"/>
            <w:gridSpan w:val="4"/>
          </w:tcPr>
          <w:p>
            <w:pPr>
              <w:ind w:left="140"/>
              <w:spacing w:after="0" w:line="202" w:lineRule="exact"/>
              <w:rPr>
                <w:sz w:val="20"/>
                <w:szCs w:val="20"/>
                <w:color w:val="auto"/>
              </w:rPr>
            </w:pPr>
            <w:r>
              <w:rPr>
                <w:rFonts w:ascii="Arial" w:cs="Arial" w:eastAsia="Arial" w:hAnsi="Arial"/>
                <w:sz w:val="18"/>
                <w:szCs w:val="18"/>
                <w:color w:val="auto"/>
                <w:w w:val="86"/>
              </w:rPr>
              <w:t>Name:</w:t>
            </w:r>
          </w:p>
        </w:tc>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James Wilson</w:t>
            </w:r>
          </w:p>
        </w:tc>
      </w:tr>
      <w:tr>
        <w:trPr>
          <w:trHeight w:val="222"/>
        </w:trPr>
        <w:tc>
          <w:tcPr>
            <w:tcW w:w="58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Trustee</w:t>
            </w:r>
          </w:p>
        </w:tc>
      </w:tr>
      <w:tr>
        <w:trPr>
          <w:trHeight w:val="419"/>
        </w:trPr>
        <w:tc>
          <w:tcPr>
            <w:tcW w:w="5520" w:type="dxa"/>
            <w:vAlign w:val="bottom"/>
            <w:gridSpan w:val="5"/>
          </w:tcPr>
          <w:p>
            <w:pPr>
              <w:spacing w:after="0"/>
              <w:rPr>
                <w:sz w:val="20"/>
                <w:szCs w:val="20"/>
                <w:color w:val="auto"/>
              </w:rPr>
            </w:pPr>
            <w:r>
              <w:rPr>
                <w:rFonts w:ascii="Arial" w:cs="Arial" w:eastAsia="Arial" w:hAnsi="Arial"/>
                <w:sz w:val="18"/>
                <w:szCs w:val="18"/>
                <w:b w:val="1"/>
                <w:bCs w:val="1"/>
                <w:color w:val="auto"/>
              </w:rPr>
              <w:t>Alan C. and Agnes B. Mendelson Family Trust</w:t>
            </w:r>
          </w:p>
        </w:tc>
      </w:tr>
      <w:tr>
        <w:trPr>
          <w:trHeight w:val="433"/>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940" w:type="dxa"/>
            <w:vAlign w:val="bottom"/>
            <w:gridSpan w:val="3"/>
          </w:tcPr>
          <w:p>
            <w:pPr>
              <w:spacing w:after="0"/>
              <w:rPr>
                <w:sz w:val="20"/>
                <w:szCs w:val="20"/>
                <w:color w:val="auto"/>
              </w:rPr>
            </w:pPr>
            <w:r>
              <w:rPr>
                <w:rFonts w:ascii="Arial" w:cs="Arial" w:eastAsia="Arial" w:hAnsi="Arial"/>
                <w:sz w:val="18"/>
                <w:szCs w:val="18"/>
                <w:color w:val="auto"/>
              </w:rPr>
              <w:t>/s/ Alan C. Mendelson</w:t>
            </w:r>
          </w:p>
        </w:tc>
      </w:tr>
      <w:tr>
        <w:trPr>
          <w:trHeight w:val="202"/>
        </w:trPr>
        <w:tc>
          <w:tcPr>
            <w:tcW w:w="460" w:type="dxa"/>
            <w:vAlign w:val="bottom"/>
          </w:tcPr>
          <w:p>
            <w:pPr>
              <w:spacing w:after="0" w:line="202" w:lineRule="exact"/>
              <w:rPr>
                <w:sz w:val="20"/>
                <w:szCs w:val="20"/>
                <w:color w:val="auto"/>
              </w:rPr>
            </w:pPr>
            <w:r>
              <w:rPr>
                <w:rFonts w:ascii="Arial" w:cs="Arial" w:eastAsia="Arial" w:hAnsi="Arial"/>
                <w:sz w:val="18"/>
                <w:szCs w:val="18"/>
                <w:color w:val="auto"/>
                <w:w w:val="82"/>
              </w:rPr>
              <w:t>Name:</w:t>
            </w:r>
          </w:p>
        </w:tc>
        <w:tc>
          <w:tcPr>
            <w:tcW w:w="120" w:type="dxa"/>
            <w:vAlign w:val="bottom"/>
            <w:tcBorders>
              <w:top w:val="single" w:sz="8" w:color="auto"/>
            </w:tcBorders>
          </w:tcPr>
          <w:p>
            <w:pPr>
              <w:spacing w:after="0"/>
              <w:rPr>
                <w:sz w:val="17"/>
                <w:szCs w:val="17"/>
                <w:color w:val="auto"/>
              </w:rPr>
            </w:pPr>
          </w:p>
        </w:tc>
        <w:tc>
          <w:tcPr>
            <w:tcW w:w="494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Alan C. Mendelson</w:t>
            </w:r>
          </w:p>
        </w:tc>
      </w:tr>
      <w:tr>
        <w:trPr>
          <w:trHeight w:val="222"/>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3"/>
          </w:tcPr>
          <w:p>
            <w:pPr>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2">
            <w:col w:w="5380" w:space="520"/>
            <w:col w:w="5520"/>
          </w:cols>
          <w:pgMar w:left="240" w:top="274"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LIQUIDATED DAMAGES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Liquidated</w:t>
            </w:r>
          </w:p>
        </w:tc>
        <w:tc>
          <w:tcPr>
            <w:tcW w:w="2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Damages</w:t>
            </w:r>
          </w:p>
        </w:tc>
        <w:tc>
          <w:tcPr>
            <w:tcW w:w="22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Liquidated</w:t>
            </w:r>
          </w:p>
        </w:tc>
        <w:tc>
          <w:tcPr>
            <w:tcW w:w="0" w:type="dxa"/>
            <w:vAlign w:val="bottom"/>
          </w:tcPr>
          <w:p>
            <w:pPr>
              <w:spacing w:after="0"/>
              <w:rPr>
                <w:sz w:val="1"/>
                <w:szCs w:val="1"/>
                <w:color w:val="auto"/>
              </w:rPr>
            </w:pPr>
          </w:p>
        </w:tc>
      </w:tr>
      <w:tr>
        <w:trPr>
          <w:trHeight w:val="149"/>
        </w:trPr>
        <w:tc>
          <w:tcPr>
            <w:tcW w:w="9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Holder</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2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Damages</w:t>
            </w:r>
          </w:p>
        </w:tc>
        <w:tc>
          <w:tcPr>
            <w:tcW w:w="0" w:type="dxa"/>
            <w:vAlign w:val="bottom"/>
          </w:tcPr>
          <w:p>
            <w:pPr>
              <w:spacing w:after="0"/>
              <w:rPr>
                <w:sz w:val="1"/>
                <w:szCs w:val="1"/>
                <w:color w:val="auto"/>
              </w:rPr>
            </w:pPr>
          </w:p>
        </w:tc>
      </w:tr>
      <w:tr>
        <w:trPr>
          <w:trHeight w:val="161"/>
        </w:trPr>
        <w:tc>
          <w:tcPr>
            <w:tcW w:w="9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Longitude Venture Partners, L.P.</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$ 506,666.67</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The 2008 Cook Grantor Retained Annuity Trust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25,333.33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David L Mahoney &amp; Winnifred C. Ellis 1998 Family Trust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10,133.33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James N. &amp; Pamela Wilson Trust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5,066.67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Alta BioPharma Partners II, L.P.</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150,103.61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Alta Embarcadero BioPharma Partners II, LLC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1,896.39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Sutter Hill Ventures, a California Limited Partnership</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99,471.67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 Leonard Baker, Jr. and Mary Anne Baker, Co-Trustees of the Baker Revocable Trust U/A/D 2/3/03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48,133.36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Saunders Holdings, L.P.</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Tench Coxe and Simone Otus Coxe, Co-Trustees of the Coxe Revocable Trust U/A/D 4/23/98*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21,203.09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w w:val="96"/>
              </w:rPr>
              <w:t>Gregory P. Sands and Sarah J.D. Sands as Trustees of Gregory P. and Sarah J.D. Sands Trust Agreement dated 2/24/99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Tallack Partners, L.P.</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2,522.10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James N. White and Patricia A. O’Brien as Trustees of the White Family Trust U/A/D 4/3/97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Jeffrey W. Bird and Christina R. Bird as Trustees of Jeffrey W. and Christina R. Bird Trust Agreement dated 10/31/00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2,227.04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Ronald Daniel Bernal and Pamela Mayer Bernal as Trustees of Bernal Family Trust U/D/T 11/3/95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Michael I. Naar and Diane J. Naar as Trustees of Naar Family Trust U/A/D 12/22/94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Robert Yin and Lily Yin as Trustees of Yin Family Trust dated March 1, 1997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Wells Fargo Bank, N.A. FBO SHV Profit Sharing Plan FBO Patricia Tom (Rollover)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 FBO SHV Profit Sharing Plan FBO Lynne B. Graw (Rollover)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Wells Fargo Bank, N.A. FBO SHV Profit Sharing Plan FBO David E. Sweet (Rollover)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882.75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 FBO SHV Profit Sharing Plan FBO William H Younger, Jr.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16,603.20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Wells Fargo Bank, N.A. FBO SHV Profit Sharing Plan FBO Sherryl W. Casella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421.64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 FBO SHV Profit Sharing Plan FBO David L. Anderson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9" w:name="page160"/>
    <w:bookmarkEnd w:id="1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Liquidated</w:t>
            </w:r>
          </w:p>
        </w:tc>
        <w:tc>
          <w:tcPr>
            <w:tcW w:w="2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Damages</w:t>
            </w:r>
          </w:p>
        </w:tc>
        <w:tc>
          <w:tcPr>
            <w:tcW w:w="2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Liquidated</w:t>
            </w:r>
          </w:p>
        </w:tc>
        <w:tc>
          <w:tcPr>
            <w:tcW w:w="0" w:type="dxa"/>
            <w:vAlign w:val="bottom"/>
          </w:tcPr>
          <w:p>
            <w:pPr>
              <w:spacing w:after="0"/>
              <w:rPr>
                <w:sz w:val="1"/>
                <w:szCs w:val="1"/>
                <w:color w:val="auto"/>
              </w:rPr>
            </w:pPr>
          </w:p>
        </w:tc>
      </w:tr>
      <w:tr>
        <w:trPr>
          <w:trHeight w:val="149"/>
        </w:trPr>
        <w:tc>
          <w:tcPr>
            <w:tcW w:w="9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Holder</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Damages</w:t>
            </w:r>
          </w:p>
        </w:tc>
        <w:tc>
          <w:tcPr>
            <w:tcW w:w="0" w:type="dxa"/>
            <w:vAlign w:val="bottom"/>
          </w:tcPr>
          <w:p>
            <w:pPr>
              <w:spacing w:after="0"/>
              <w:rPr>
                <w:sz w:val="1"/>
                <w:szCs w:val="1"/>
                <w:color w:val="auto"/>
              </w:rPr>
            </w:pPr>
          </w:p>
        </w:tc>
      </w:tr>
      <w:tr>
        <w:trPr>
          <w:trHeight w:val="161"/>
        </w:trPr>
        <w:tc>
          <w:tcPr>
            <w:tcW w:w="9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Paperboy Ventures, LLC</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304,000.00</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VP Company Investments 2008, LLC</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1,266.69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Alan C. and Agnes B. Mendelson Family Trust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The Trust company of Oxford, Trustee, Vaughn D. Bryson, 2008 GRAT #1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10,133.33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Roy M. Barbee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Douglas G. &amp; Irene E. DeVivo Rev. Trust, dated 11/1/88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5,066.67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Black Point Group LP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12,666.67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Bruce Hardy McLain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AND CHANGE IN CONTROL AGREEMENT</w:t>
      </w:r>
    </w:p>
    <w:p>
      <w:pPr>
        <w:spacing w:after="0" w:line="171" w:lineRule="exact"/>
        <w:rPr>
          <w:sz w:val="20"/>
          <w:szCs w:val="20"/>
          <w:color w:val="auto"/>
        </w:rPr>
      </w:pPr>
    </w:p>
    <w:p>
      <w:pPr>
        <w:ind w:right="260" w:firstLine="913"/>
        <w:spacing w:after="0" w:line="262" w:lineRule="auto"/>
        <w:rPr>
          <w:sz w:val="20"/>
          <w:szCs w:val="20"/>
          <w:color w:val="auto"/>
        </w:rPr>
      </w:pPr>
      <w:r>
        <w:rPr>
          <w:rFonts w:ascii="Arial" w:cs="Arial" w:eastAsia="Arial" w:hAnsi="Arial"/>
          <w:sz w:val="18"/>
          <w:szCs w:val="18"/>
          <w:b w:val="1"/>
          <w:bCs w:val="1"/>
          <w:color w:val="auto"/>
        </w:rPr>
        <w:t xml:space="preserve">THIS SEVERANCE AND CHANGE IN CONTROL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28</w:t>
      </w:r>
      <w:r>
        <w:rPr>
          <w:rFonts w:ascii="Arial" w:cs="Arial" w:eastAsia="Arial" w:hAnsi="Arial"/>
          <w:sz w:val="18"/>
          <w:szCs w:val="18"/>
          <w:b w:val="1"/>
          <w:bCs w:val="1"/>
          <w:color w:val="auto"/>
        </w:rPr>
        <w:t xml:space="preserve">, </w:t>
      </w:r>
      <w:r>
        <w:rPr>
          <w:rFonts w:ascii="Arial" w:cs="Arial" w:eastAsia="Arial" w:hAnsi="Arial"/>
          <w:sz w:val="18"/>
          <w:szCs w:val="18"/>
          <w:color w:val="auto"/>
        </w:rPr>
        <w:t>2008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by and between Caroline Loewy, Chief Financial Officer (“</w:t>
      </w:r>
      <w:r>
        <w:rPr>
          <w:rFonts w:ascii="Arial" w:cs="Arial" w:eastAsia="Arial" w:hAnsi="Arial"/>
          <w:sz w:val="18"/>
          <w:szCs w:val="18"/>
          <w:u w:val="single" w:color="auto"/>
          <w:color w:val="auto"/>
        </w:rPr>
        <w:t>Executive</w:t>
      </w:r>
      <w:r>
        <w:rPr>
          <w:rFonts w:ascii="Arial" w:cs="Arial" w:eastAsia="Arial" w:hAnsi="Arial"/>
          <w:sz w:val="18"/>
          <w:szCs w:val="18"/>
          <w:color w:val="auto"/>
        </w:rPr>
        <w:t>”) and Corcept Therapeutics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Executive is a senior executive of the Company and has made and is expected to continue to make major contributions to the short and long term profitability, growth and financial strength of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recognizes that, as is the case for most publicly held companies, the possibility of a Change in Control (as defined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exists;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desires to assure itself of both present and future continuity of management;</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the Company wishes to ensure that Executive is not practically disabled from discharging his duties in respect of a proposed or actual transaction involving a Change in Control;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Company desires to provide additional inducement for Executive to continue to remain in the employ of the Company.</w:t>
      </w:r>
    </w:p>
    <w:p>
      <w:pPr>
        <w:spacing w:after="0" w:line="194"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exchange for good and valuable consideration, the receipt and sufficiency of which is hereby acknowledged, the Company and Executive agree as follows:</w:t>
      </w:r>
    </w:p>
    <w:p>
      <w:pPr>
        <w:spacing w:after="0" w:line="51" w:lineRule="exact"/>
        <w:rPr>
          <w:sz w:val="20"/>
          <w:szCs w:val="20"/>
          <w:color w:val="auto"/>
        </w:rPr>
      </w:pPr>
    </w:p>
    <w:p>
      <w:pPr>
        <w:ind w:right="280" w:firstLine="464"/>
        <w:spacing w:after="0" w:line="268" w:lineRule="auto"/>
        <w:tabs>
          <w:tab w:leader="none" w:pos="63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In addition to terms defined elsewhere herein, the following terms have the following meanings when used in this Agreement with initial capital letters:</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right="320" w:firstLine="921"/>
        <w:spacing w:after="0" w:line="294" w:lineRule="auto"/>
        <w:tabs>
          <w:tab w:leader="none" w:pos="116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Executive’s gross negligence or willful misconduct in the performance of his duties to the Company where such gross negligence or willful misconduct has resulted or is likely to result in material damage to the Company or its subsidiaries; (ii) Executive’s willful and habitual neglect of his or her duties of consulting or employment; (iii) Executive’s commission of any act of fraud with respect to the Company; (iv) Executive’s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felony criminal conduct or any crime involving moral turpitude; or (v) Executive’s violation of any noncompetition or confidentiality agreement that Executive has entered into with the Company.</w:t>
      </w:r>
    </w:p>
    <w:p>
      <w:pPr>
        <w:spacing w:after="0" w:line="115" w:lineRule="exact"/>
        <w:rPr>
          <w:rFonts w:ascii="Arial" w:cs="Arial" w:eastAsia="Arial" w:hAnsi="Arial"/>
          <w:sz w:val="16"/>
          <w:szCs w:val="16"/>
          <w:color w:val="auto"/>
        </w:rPr>
      </w:pPr>
    </w:p>
    <w:p>
      <w:pPr>
        <w:ind w:right="180" w:firstLine="921"/>
        <w:spacing w:after="0" w:line="259" w:lineRule="auto"/>
        <w:tabs>
          <w:tab w:leader="none" w:pos="115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(i) the liquidation, dissolution or winding up of the Company; (ii) any consolidation or merger of the Company with or into any other corporation or other entity or person, or any other corporate reorganization in which the Company’s stockholders immediately prior to such transaction do not hold more than fifty</w:t>
      </w:r>
    </w:p>
    <w:p>
      <w:pPr>
        <w:sectPr>
          <w:pgSz w:w="11900" w:h="16838" w:orient="portrait"/>
          <w:cols w:equalWidth="0" w:num="1">
            <w:col w:w="11420"/>
          </w:cols>
          <w:pgMar w:left="240" w:top="125" w:right="239" w:bottom="1440" w:gutter="0" w:footer="0" w:header="0"/>
        </w:sectPr>
      </w:pPr>
    </w:p>
    <w:bookmarkStart w:id="161" w:name="page162"/>
    <w:bookmarkEnd w:id="161"/>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percent (50%) of the voting power of the surviving or acquiring entity (or its parent) immediately following such transaction (taking into account only voting power resulting from stock held by such stockholders prior to such transaction); (iii) any transaction or series of related transactions to which the Company is a party in which in excess of fifty percent (50%) of the Company’s voting power outstanding before such transaction is transferred or (iv) 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Change in Control shall not include (A) a merger or consolidation with a wholly-owned subsidiary of the Company, (B) a merger effected</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 for the purpose of changing the domicile of the Company or (C) any transaction or series of related transactions principally for bona fide equity financing purposes.</w:t>
      </w:r>
    </w:p>
    <w:p>
      <w:pPr>
        <w:spacing w:after="0" w:line="145" w:lineRule="exact"/>
        <w:rPr>
          <w:sz w:val="20"/>
          <w:szCs w:val="20"/>
          <w:color w:val="auto"/>
        </w:rPr>
      </w:pPr>
    </w:p>
    <w:p>
      <w:pPr>
        <w:ind w:firstLine="921"/>
        <w:spacing w:after="0" w:line="288" w:lineRule="auto"/>
        <w:tabs>
          <w:tab w:leader="none" w:pos="116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any of the following events which Executive provides written notice to the Company of within 90 days of such event having occurred and which is not cured by the Company within 30 days after such written notice thereof is provided to the Company by Executive: (i) any reduction of Executive’s base salary or target annual bonus; (ii) any involuntary relocation of Executive’s principal workplace to a location more than 35 miles in any direction from Executive’s current principal workplace, (iii) a substantial and material adverse change, without Executive’s written consent, in Executive’s title, authority, responsibility or duties; or (iv) any material breach by the Company of any provision of this Agreement or any other employment agreement, after written notice delivered to the Company of such breach and the Company’s failure to cure such breach; </w:t>
      </w:r>
      <w:r>
        <w:rPr>
          <w:rFonts w:ascii="Arial" w:cs="Arial" w:eastAsia="Arial" w:hAnsi="Arial"/>
          <w:sz w:val="16"/>
          <w:szCs w:val="16"/>
          <w:i w:val="1"/>
          <w:iCs w:val="1"/>
          <w:color w:val="auto"/>
        </w:rPr>
        <w:t>provided, however</w:t>
      </w:r>
      <w:r>
        <w:rPr>
          <w:rFonts w:ascii="Arial" w:cs="Arial" w:eastAsia="Arial" w:hAnsi="Arial"/>
          <w:sz w:val="16"/>
          <w:szCs w:val="16"/>
          <w:color w:val="auto"/>
        </w:rPr>
        <w:t>, in the context of a Change in Control, Executive shall not have Good Reason to resign in connection with a reorganization of the Company in which the executive would retain substantially similar title, authority, duties, base pay and bonus but might have greater or lesser reporting responsibilities. In order to constitute a termination of employment for Good Reason, Executive’s employment must be terminated no later than 180 days following the initial occurrence of any events set forth above.</w:t>
      </w:r>
    </w:p>
    <w:p>
      <w:pPr>
        <w:spacing w:after="0" w:line="119" w:lineRule="exact"/>
        <w:rPr>
          <w:rFonts w:ascii="Arial" w:cs="Arial" w:eastAsia="Arial" w:hAnsi="Arial"/>
          <w:sz w:val="16"/>
          <w:szCs w:val="16"/>
          <w:color w:val="auto"/>
        </w:rPr>
      </w:pPr>
    </w:p>
    <w:p>
      <w:pPr>
        <w:ind w:right="460" w:firstLine="464"/>
        <w:spacing w:after="0" w:line="268" w:lineRule="auto"/>
        <w:tabs>
          <w:tab w:leader="none" w:pos="63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Terminations Without Cause or for Good Reason</w:t>
      </w:r>
      <w:r>
        <w:rPr>
          <w:rFonts w:ascii="Arial" w:cs="Arial" w:eastAsia="Arial" w:hAnsi="Arial"/>
          <w:sz w:val="18"/>
          <w:szCs w:val="18"/>
          <w:color w:val="auto"/>
        </w:rPr>
        <w:t>. If Executive’s employment shall terminate involuntarily without Cause or for Good Reason, the Company shall provide Executive with severance payments and benefits pursuant to this Section 2.</w:t>
      </w:r>
    </w:p>
    <w:p>
      <w:pPr>
        <w:spacing w:after="0" w:line="50" w:lineRule="exact"/>
        <w:rPr>
          <w:rFonts w:ascii="Arial" w:cs="Arial" w:eastAsia="Arial" w:hAnsi="Arial"/>
          <w:sz w:val="18"/>
          <w:szCs w:val="18"/>
          <w:color w:val="auto"/>
        </w:rPr>
      </w:pPr>
    </w:p>
    <w:p>
      <w:pPr>
        <w:ind w:right="20" w:firstLine="921"/>
        <w:spacing w:after="0" w:line="256" w:lineRule="auto"/>
        <w:tabs>
          <w:tab w:leader="none" w:pos="1152"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Terminations Not in Connection with a Change In Control</w:t>
      </w:r>
      <w:r>
        <w:rPr>
          <w:rFonts w:ascii="Arial" w:cs="Arial" w:eastAsia="Arial" w:hAnsi="Arial"/>
          <w:sz w:val="18"/>
          <w:szCs w:val="18"/>
          <w:color w:val="auto"/>
        </w:rPr>
        <w:t>. If Executive’s employment shall terminate involuntarily without Cause or for Good Reason, prior to a Change in Control or more than eighteen (18) months following a Change in Control, the Company shall provide Executive with the following severance payments and benefits in lieu of any severance benefits to which the Executive may otherwise be entitled to under any severance plan or program maintained by the Company:</w:t>
      </w:r>
    </w:p>
    <w:p>
      <w:pPr>
        <w:spacing w:after="0" w:line="62" w:lineRule="exact"/>
        <w:rPr>
          <w:rFonts w:ascii="Arial" w:cs="Arial" w:eastAsia="Arial" w:hAnsi="Arial"/>
          <w:sz w:val="18"/>
          <w:szCs w:val="18"/>
          <w:color w:val="auto"/>
        </w:rPr>
      </w:pPr>
    </w:p>
    <w:p>
      <w:pPr>
        <w:ind w:left="460" w:right="140" w:firstLine="881"/>
        <w:spacing w:after="0" w:line="298" w:lineRule="auto"/>
        <w:tabs>
          <w:tab w:leader="none" w:pos="1546" w:val="left"/>
        </w:tabs>
        <w:numPr>
          <w:ilvl w:val="2"/>
          <w:numId w:val="125"/>
        </w:numPr>
        <w:rPr>
          <w:rFonts w:ascii="Arial" w:cs="Arial" w:eastAsia="Arial" w:hAnsi="Arial"/>
          <w:sz w:val="16"/>
          <w:szCs w:val="16"/>
          <w:color w:val="auto"/>
        </w:rPr>
      </w:pPr>
      <w:r>
        <w:rPr>
          <w:rFonts w:ascii="Arial" w:cs="Arial" w:eastAsia="Arial" w:hAnsi="Arial"/>
          <w:sz w:val="16"/>
          <w:szCs w:val="16"/>
          <w:u w:val="single" w:color="auto"/>
          <w:color w:val="auto"/>
        </w:rPr>
        <w:t>Severance Payments</w:t>
      </w:r>
      <w:r>
        <w:rPr>
          <w:rFonts w:ascii="Arial" w:cs="Arial" w:eastAsia="Arial" w:hAnsi="Arial"/>
          <w:sz w:val="16"/>
          <w:szCs w:val="16"/>
          <w:color w:val="auto"/>
        </w:rPr>
        <w:t>: Pay to Executive an amount equal to twelve (12) months then current base salary, payable in substantially equal installments in accordance with the Company’s customary payroll practices and procedures. The continuation of your base salary shall be paid beginning on the sixtieth (60th) day following the date of termination, all payments deferred pursuant to this sentence shall be paid in a lump sum to Executive and any remaining payments due under this paragraph shall be paid as otherwise provided herein.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62" w:name="page163"/>
    <w:bookmarkEnd w:id="162"/>
    <w:p>
      <w:pPr>
        <w:ind w:left="440" w:right="20" w:firstLine="881"/>
        <w:spacing w:after="0" w:line="255" w:lineRule="auto"/>
        <w:tabs>
          <w:tab w:leader="none" w:pos="1575"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Benefits</w:t>
      </w:r>
      <w:r>
        <w:rPr>
          <w:rFonts w:ascii="Arial" w:cs="Arial" w:eastAsia="Arial" w:hAnsi="Arial"/>
          <w:sz w:val="18"/>
          <w:szCs w:val="18"/>
          <w:color w:val="auto"/>
        </w:rPr>
        <w:t>. If Executive elects to continue his health insurance coverage under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following such termination, then the Company shall pay Executive’s monthly COBRA premium for continued health insurance coverage for Executive and Executive’s eligible dependents until the earlier of (i) twelve (12) months following the termination date, or (ii) the date upon which Executive and his eligible dependents become eligible for comparable coverage under a group health insurance plan maintained by subsequent employer.</w:t>
      </w:r>
    </w:p>
    <w:p>
      <w:pPr>
        <w:spacing w:after="0" w:line="142" w:lineRule="exact"/>
        <w:rPr>
          <w:rFonts w:ascii="Arial" w:cs="Arial" w:eastAsia="Arial" w:hAnsi="Arial"/>
          <w:sz w:val="18"/>
          <w:szCs w:val="18"/>
          <w:color w:val="auto"/>
        </w:rPr>
      </w:pPr>
    </w:p>
    <w:p>
      <w:pPr>
        <w:ind w:left="-20" w:right="40" w:firstLine="921"/>
        <w:spacing w:after="0" w:line="306" w:lineRule="auto"/>
        <w:tabs>
          <w:tab w:leader="none" w:pos="1141"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Terminations in Connection with a Change In Control</w:t>
      </w:r>
      <w:r>
        <w:rPr>
          <w:rFonts w:ascii="Arial" w:cs="Arial" w:eastAsia="Arial" w:hAnsi="Arial"/>
          <w:sz w:val="16"/>
          <w:szCs w:val="16"/>
          <w:color w:val="auto"/>
        </w:rPr>
        <w:t>. If Executive’s employment shall terminate involuntarily without Cause or for Good Reason, within eighteen (18) months following a Change in Control, the Company shall provide Executive with the following severance payments and benefits in lieu of any severance benefits to which the Executive may otherwise be entitled to under any severance plan or program maintained by the Company:</w:t>
      </w:r>
    </w:p>
    <w:p>
      <w:pPr>
        <w:spacing w:after="0" w:line="25" w:lineRule="exact"/>
        <w:rPr>
          <w:rFonts w:ascii="Arial" w:cs="Arial" w:eastAsia="Arial" w:hAnsi="Arial"/>
          <w:sz w:val="16"/>
          <w:szCs w:val="16"/>
          <w:color w:val="auto"/>
        </w:rPr>
      </w:pPr>
    </w:p>
    <w:p>
      <w:pPr>
        <w:ind w:left="440" w:right="500" w:firstLine="881"/>
        <w:spacing w:after="0" w:line="268" w:lineRule="auto"/>
        <w:tabs>
          <w:tab w:leader="none" w:pos="152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Severance Payments</w:t>
      </w:r>
      <w:r>
        <w:rPr>
          <w:rFonts w:ascii="Arial" w:cs="Arial" w:eastAsia="Arial" w:hAnsi="Arial"/>
          <w:sz w:val="18"/>
          <w:szCs w:val="18"/>
          <w:color w:val="auto"/>
        </w:rPr>
        <w:t>: Pay to Executive an amount equal to twelve (12) months then current base salary, payable in a lump sum on the sixtieth (60th) day following the termination of employment.</w:t>
      </w:r>
    </w:p>
    <w:p>
      <w:pPr>
        <w:spacing w:after="0" w:line="51" w:lineRule="exact"/>
        <w:rPr>
          <w:sz w:val="20"/>
          <w:szCs w:val="20"/>
          <w:color w:val="auto"/>
        </w:rPr>
      </w:pPr>
    </w:p>
    <w:p>
      <w:pPr>
        <w:ind w:left="440" w:firstLine="881"/>
        <w:spacing w:after="0" w:line="298" w:lineRule="auto"/>
        <w:tabs>
          <w:tab w:leader="none" w:pos="1575"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Continued Benefits</w:t>
      </w:r>
      <w:r>
        <w:rPr>
          <w:rFonts w:ascii="Arial" w:cs="Arial" w:eastAsia="Arial" w:hAnsi="Arial"/>
          <w:sz w:val="16"/>
          <w:szCs w:val="16"/>
          <w:color w:val="auto"/>
        </w:rPr>
        <w:t>. If Executive elects to continue his health insurance coverage under COBRA following such termination, then the Company shall pay Executive’s monthly COBRA premium for continued health insurance coverage for Executive and Executive’s eligible dependents until the earlier of (i) twelve (12) months following the termination date, or (ii) the date upon which Executive and his eligible dependents become eligible for comparable coverage under a group health insurance plan maintained by subsequent employer.</w:t>
      </w:r>
    </w:p>
    <w:p>
      <w:pPr>
        <w:spacing w:after="0" w:line="31" w:lineRule="exact"/>
        <w:rPr>
          <w:rFonts w:ascii="Arial" w:cs="Arial" w:eastAsia="Arial" w:hAnsi="Arial"/>
          <w:sz w:val="16"/>
          <w:szCs w:val="16"/>
          <w:color w:val="auto"/>
        </w:rPr>
      </w:pPr>
    </w:p>
    <w:p>
      <w:pPr>
        <w:ind w:left="440" w:right="100" w:firstLine="881"/>
        <w:spacing w:after="0" w:line="294" w:lineRule="auto"/>
        <w:tabs>
          <w:tab w:leader="none" w:pos="1623"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Notwithstanding any provision to the contrary in any equity award agreement or equity compensation plan, the Company shall cause all outstanding equity awards then held by Executive (including, without limitation, stock options, stock appreciation rights, phantom shares, restricted stock or similar awards) to become fully vested and, if applicable, exercisable with respect to all the shares subject thereto effective immediately prior to the date of termination. In all other respects, such awards will continue to be subject to the terms and conditions of the plans, if any, under which they were granted and any applicable agreements between the Company and Executive.</w:t>
      </w:r>
    </w:p>
    <w:p>
      <w:pPr>
        <w:spacing w:after="0" w:line="115" w:lineRule="exact"/>
        <w:rPr>
          <w:rFonts w:ascii="Arial" w:cs="Arial" w:eastAsia="Arial" w:hAnsi="Arial"/>
          <w:sz w:val="16"/>
          <w:szCs w:val="16"/>
          <w:color w:val="auto"/>
        </w:rPr>
      </w:pPr>
    </w:p>
    <w:p>
      <w:pPr>
        <w:ind w:left="-20" w:firstLine="921"/>
        <w:spacing w:after="0" w:line="253" w:lineRule="auto"/>
        <w:tabs>
          <w:tab w:leader="none" w:pos="113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 in the event that the Company, or its successor, requests Executive to continue to serve in the same position following a Change in Control for a six (6)-month (or shorter) transition period (“</w:t>
      </w:r>
      <w:r>
        <w:rPr>
          <w:rFonts w:ascii="Arial" w:cs="Arial" w:eastAsia="Arial" w:hAnsi="Arial"/>
          <w:sz w:val="18"/>
          <w:szCs w:val="18"/>
          <w:u w:val="single" w:color="auto"/>
          <w:color w:val="auto"/>
        </w:rPr>
        <w:t>Transition Period</w:t>
      </w:r>
      <w:r>
        <w:rPr>
          <w:rFonts w:ascii="Arial" w:cs="Arial" w:eastAsia="Arial" w:hAnsi="Arial"/>
          <w:sz w:val="18"/>
          <w:szCs w:val="18"/>
          <w:color w:val="auto"/>
        </w:rPr>
        <w:t>”), Executive shall not have Good Reason to resign pursuant to Section 1(d)(iii) during such Transition Period regardless if Executive’s title, authority, responsibility or duties have been materially reduced; provided that during such Transition Period Executive continues to be paid the same salary and be provided with the same bonus opportunity, if any, as in effect immediately prior to such Change in Control and Executive’s principal workplace is not relocated more than 35 miles from its location immediately prior to such Change in Control. Following the Transition Period, Executive may resign for Good Reason pursuant to Section 1(d)(iii) and be entitled to the benefits set forth in Section 2(b).</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63" w:name="page164"/>
    <w:bookmarkEnd w:id="163"/>
    <w:p>
      <w:pPr>
        <w:ind w:left="640" w:hanging="176"/>
        <w:spacing w:after="0"/>
        <w:tabs>
          <w:tab w:leader="none" w:pos="64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to Receipt of Severance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921"/>
        <w:spacing w:after="0" w:line="306" w:lineRule="auto"/>
        <w:tabs>
          <w:tab w:leader="none" w:pos="1152" w:val="left"/>
        </w:tabs>
        <w:numPr>
          <w:ilvl w:val="2"/>
          <w:numId w:val="130"/>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Release of Claims</w:t>
      </w:r>
      <w:r>
        <w:rPr>
          <w:rFonts w:ascii="Arial" w:cs="Arial" w:eastAsia="Arial" w:hAnsi="Arial"/>
          <w:sz w:val="16"/>
          <w:szCs w:val="16"/>
          <w:color w:val="auto"/>
        </w:rPr>
        <w:t>. The receipt of any severance pursuant to Section 2 will be subject to Executive signing and not revoking a separation agreement and release of claims in a form reasonably acceptable to the Company within sixty (60) days following Executive’s termination of employment</w:t>
      </w:r>
      <w:r>
        <w:rPr>
          <w:rFonts w:ascii="Arial" w:cs="Arial" w:eastAsia="Arial" w:hAnsi="Arial"/>
          <w:sz w:val="16"/>
          <w:szCs w:val="16"/>
          <w:b w:val="1"/>
          <w:bCs w:val="1"/>
          <w:color w:val="auto"/>
        </w:rPr>
        <w:t>.</w:t>
      </w:r>
      <w:r>
        <w:rPr>
          <w:rFonts w:ascii="Arial" w:cs="Arial" w:eastAsia="Arial" w:hAnsi="Arial"/>
          <w:sz w:val="16"/>
          <w:szCs w:val="16"/>
          <w:color w:val="auto"/>
        </w:rPr>
        <w:t xml:space="preserve"> No severance pursuant to Section 2 will be paid or provided until the separation agreement and release of claims becomes effective.</w:t>
      </w:r>
    </w:p>
    <w:p>
      <w:pPr>
        <w:spacing w:after="0" w:line="106" w:lineRule="exact"/>
        <w:rPr>
          <w:rFonts w:ascii="Arial" w:cs="Arial" w:eastAsia="Arial" w:hAnsi="Arial"/>
          <w:sz w:val="16"/>
          <w:szCs w:val="16"/>
          <w:color w:val="auto"/>
        </w:rPr>
      </w:pPr>
    </w:p>
    <w:p>
      <w:pPr>
        <w:ind w:right="160" w:firstLine="921"/>
        <w:spacing w:after="0" w:line="283" w:lineRule="auto"/>
        <w:tabs>
          <w:tab w:leader="none" w:pos="1161" w:val="left"/>
        </w:tabs>
        <w:numPr>
          <w:ilvl w:val="2"/>
          <w:numId w:val="13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contained in this Agreement to the contrary, to the maximum extent permitted by applicable law, amounts payable to Executive pursuant to Section 2 shall be made in reliance upon Treas. Reg. Section 1.409A-1(b)(9) (Separation Pay Plans) or Treas. Reg. Section 1.409A-1(b)(4) (Short-Term Deferrals). For this purpose each installment or monthly payment to which Executive is entitled under Section 2 shall be considered a separate and distinct payment. In addition, (i) no amount deemed deferred compensation subject to Section 409A shall be payable pursuant to Section 2 unless the Executive’s termination of employment constitutes a “separation from service” within the meaning of Treas. Reg. Section 1.409A-1(h) and</w:t>
      </w:r>
    </w:p>
    <w:p>
      <w:pPr>
        <w:spacing w:after="0" w:line="2" w:lineRule="exact"/>
        <w:rPr>
          <w:rFonts w:ascii="Arial" w:cs="Arial" w:eastAsia="Arial" w:hAnsi="Arial"/>
          <w:sz w:val="16"/>
          <w:szCs w:val="16"/>
          <w:color w:val="auto"/>
        </w:rPr>
      </w:pPr>
    </w:p>
    <w:p>
      <w:pPr>
        <w:ind w:firstLine="8"/>
        <w:spacing w:after="0" w:line="286" w:lineRule="auto"/>
        <w:tabs>
          <w:tab w:leader="none" w:pos="25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Executive is deemed at the time of his separation from service to be a “specified employee” for purposes of Section 409A(a)(2)(B)(i) of the Code, then to the extent delayed commencement of any portion of the termination benefits to which Executive is entitled under this Agreement is required in order to avoid a prohibited distribution under Section 409A(a)(2)(B)(i) of the Code, such portion of Executive’s termination benefits shall not be provided to Executive prior to the earlier of (A) the expiration of the six-month period measured from the date of the Executive’s “separation from service” with the Company (as such term is defined in the Treasury Regulations issued under Section 409A of the Code) or (B) the date of Executive’s death. Upon the earlier of such dates, all payments deferred pursuant to this Section 3(b) shall be paid in a lump sum to Executive, and any remaining payments due under the Agreement shall be paid as otherwise provided herein. The determination of whether Executive is a “specified employee” for purposes of Section 409A(a)(2)(B)(i) of the Code as of the time of his separation from service shall be made by the Company in accordance with the terms of Section 409A of the Code and applicable guidance thereunder (including without limitation Treas. Reg. Section 1.409A-1(i) and any successor provision thereto). The reimbursement of any expense under this Agreement shall be made no later than December 31 of the year following the year in which the expense was incurred. The amount of expenses reimbursed in one year shall not affect the amount eligible for reimbursement in any subsequent year.</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Successors and Binding Agreement</w:t>
      </w:r>
      <w:r>
        <w:rPr>
          <w:rFonts w:ascii="Arial" w:cs="Arial" w:eastAsia="Arial" w:hAnsi="Arial"/>
          <w:sz w:val="16"/>
          <w:szCs w:val="16"/>
          <w:color w:val="auto"/>
        </w:rPr>
        <w:t>. The Company will require any successor (whether direct or indirect, by purchase, merger, consolidation,</w:t>
      </w:r>
    </w:p>
    <w:p>
      <w:pPr>
        <w:spacing w:after="0" w:line="38"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reorganization or otherwise, including, without limitation, any successor due to a Change in Control) to the business or assets of the Company, by agreement in form and substance reasonably satisfactory to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directly or indirectly acquiring the business or assets of the Company in a transaction constituting a Change in Control (and such successor shall thereafter be deemed the “Company” for the purpose of this Agreement), but will not otherwise be assignable, transferable or delegable by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64" w:name="page165"/>
    <w:bookmarkEnd w:id="164"/>
    <w:p>
      <w:pPr>
        <w:ind w:left="-20" w:right="580" w:firstLine="921"/>
        <w:spacing w:after="0" w:line="268" w:lineRule="auto"/>
        <w:tabs>
          <w:tab w:leader="none" w:pos="1142" w:val="left"/>
        </w:tabs>
        <w:numPr>
          <w:ilvl w:val="1"/>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will inure to the benefit of and be enforceable by Executive’s personal or legal representatives, executors, administrators, successors, heirs, distributees and legatees.</w:t>
      </w:r>
    </w:p>
    <w:p>
      <w:pPr>
        <w:spacing w:after="0" w:line="131" w:lineRule="exact"/>
        <w:rPr>
          <w:rFonts w:ascii="Arial" w:cs="Arial" w:eastAsia="Arial" w:hAnsi="Arial"/>
          <w:sz w:val="18"/>
          <w:szCs w:val="18"/>
          <w:color w:val="auto"/>
        </w:rPr>
      </w:pPr>
    </w:p>
    <w:p>
      <w:pPr>
        <w:ind w:left="-20" w:firstLine="921"/>
        <w:spacing w:after="0" w:line="294" w:lineRule="auto"/>
        <w:tabs>
          <w:tab w:leader="none" w:pos="113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consent of the other, assign, transfer or delegate this Agreement or any rights or obligations hereunder except as expressly provided in Sections 4(a) and 4(b). Without limiting the generality or effect of the foregoing,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4(c), the Company shall have no liability to pay any amount so attempted to be assigned, transferred or delegated.</w:t>
      </w:r>
    </w:p>
    <w:p>
      <w:pPr>
        <w:spacing w:after="0" w:line="115" w:lineRule="exact"/>
        <w:rPr>
          <w:rFonts w:ascii="Arial" w:cs="Arial" w:eastAsia="Arial" w:hAnsi="Arial"/>
          <w:sz w:val="16"/>
          <w:szCs w:val="16"/>
          <w:color w:val="auto"/>
        </w:rPr>
      </w:pPr>
    </w:p>
    <w:p>
      <w:pPr>
        <w:ind w:left="-20" w:right="200" w:firstLine="464"/>
        <w:spacing w:after="0" w:line="259" w:lineRule="auto"/>
        <w:tabs>
          <w:tab w:leader="none" w:pos="61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Agreement.</w:t>
      </w:r>
      <w:r>
        <w:rPr>
          <w:rFonts w:ascii="Arial" w:cs="Arial" w:eastAsia="Arial" w:hAnsi="Arial"/>
          <w:sz w:val="18"/>
          <w:szCs w:val="18"/>
          <w:color w:val="auto"/>
        </w:rPr>
        <w:t xml:space="preserve"> This Agreement may be changed or terminated only upon the mutual written consent of the Company and Executive. The written consent of the Company to a change or termination of this Agreement must be signed by an executive officer of the Company after such change or termination has been approved by the Board.</w:t>
      </w:r>
    </w:p>
    <w:p>
      <w:pPr>
        <w:spacing w:after="0" w:line="140" w:lineRule="exact"/>
        <w:rPr>
          <w:rFonts w:ascii="Arial" w:cs="Arial" w:eastAsia="Arial" w:hAnsi="Arial"/>
          <w:sz w:val="18"/>
          <w:szCs w:val="18"/>
          <w:color w:val="auto"/>
        </w:rPr>
      </w:pPr>
    </w:p>
    <w:p>
      <w:pPr>
        <w:ind w:left="-20" w:right="60" w:firstLine="464"/>
        <w:spacing w:after="0" w:line="253" w:lineRule="auto"/>
        <w:tabs>
          <w:tab w:leader="none" w:pos="61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UPS, or DHL, addressed to the Company (to the attention of the Secretary of the Company) at its principal executive office and to Executive at his principal residence, or to such other address as any party may have furnished to the other in writing and in accordance herewith, except that notices of changes of address shall be effective only upon receipt.</w:t>
      </w:r>
    </w:p>
    <w:p>
      <w:pPr>
        <w:spacing w:after="0" w:line="147" w:lineRule="exact"/>
        <w:rPr>
          <w:rFonts w:ascii="Arial" w:cs="Arial" w:eastAsia="Arial" w:hAnsi="Arial"/>
          <w:sz w:val="18"/>
          <w:szCs w:val="18"/>
          <w:color w:val="auto"/>
        </w:rPr>
      </w:pPr>
    </w:p>
    <w:p>
      <w:pPr>
        <w:ind w:left="-20" w:right="20" w:firstLine="464"/>
        <w:spacing w:after="0" w:line="256" w:lineRule="auto"/>
        <w:tabs>
          <w:tab w:leader="none" w:pos="61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43" w:lineRule="exact"/>
        <w:rPr>
          <w:rFonts w:ascii="Arial" w:cs="Arial" w:eastAsia="Arial" w:hAnsi="Arial"/>
          <w:sz w:val="18"/>
          <w:szCs w:val="18"/>
          <w:color w:val="auto"/>
        </w:rPr>
      </w:pPr>
    </w:p>
    <w:p>
      <w:pPr>
        <w:ind w:left="-20" w:right="40" w:firstLine="464"/>
        <w:spacing w:after="0" w:line="298" w:lineRule="auto"/>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The laws of the state of California shall govern the interpretation, validity and performance of the terms of this Agreement, regardless of the law that might be applied under principles of conflicts of law. Any suit, action or proceeding against Executive, with respect to this Agreement, or any judgment entered by any court in respect of any of such, may be brought in any court of competent jurisdiction in the State of California, and Executive hereby submits to the jurisdiction of such courts for the purpose of any such suit, action, proceeding or judgment.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165" w:name="page166"/>
    <w:bookmarkEnd w:id="165"/>
    <w:p>
      <w:pPr>
        <w:ind w:left="-20" w:firstLine="464"/>
        <w:spacing w:after="0" w:line="253" w:lineRule="auto"/>
        <w:tabs>
          <w:tab w:leader="none" w:pos="61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color w:val="auto"/>
        </w:rPr>
        <w:t>. No provision of this Agreement may be modified, waived or discharged unless such waiver, modification or discharge is agreed to in writing signed by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This Agreement constitutes the entire agreement of the parties with respect to the subject matter hereof and supersedes any and all prior agreements of the parties with respect to such subject matter. No agreements or representations, oral or otherwise, expressed or implied with respect to the subject matter hereof have been made by either party which are not set forth expressly in this Agreement. References to Sections are to references to Sections of this Agreement.</w:t>
      </w:r>
    </w:p>
    <w:p>
      <w:pPr>
        <w:spacing w:after="0" w:line="147" w:lineRule="exact"/>
        <w:rPr>
          <w:rFonts w:ascii="Arial" w:cs="Arial" w:eastAsia="Arial" w:hAnsi="Arial"/>
          <w:sz w:val="18"/>
          <w:szCs w:val="18"/>
          <w:color w:val="auto"/>
        </w:rPr>
      </w:pPr>
    </w:p>
    <w:p>
      <w:pPr>
        <w:ind w:left="-20" w:right="140" w:firstLine="464"/>
        <w:spacing w:after="0" w:line="268"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31" w:lineRule="exact"/>
        <w:rPr>
          <w:rFonts w:ascii="Arial" w:cs="Arial" w:eastAsia="Arial" w:hAnsi="Arial"/>
          <w:sz w:val="18"/>
          <w:szCs w:val="18"/>
          <w:color w:val="auto"/>
        </w:rPr>
      </w:pPr>
    </w:p>
    <w:p>
      <w:pPr>
        <w:ind w:left="-20" w:right="20" w:firstLine="464"/>
        <w:spacing w:after="0" w:line="290" w:lineRule="auto"/>
        <w:tabs>
          <w:tab w:leader="none" w:pos="69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xml:space="preserve">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would otherwise be taxable to Executive under Section 409A, the Company may adopt such limited amendments to this Agreement and appropriate policies and procedures, including amendments and policies with retroactive effect, that the Company reasonably determines are necessary or appropriate to comply with the requirements of Section 409A and thereby avoid the application of taxes under such Section.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and delivered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CORCEPT THERAPEUTICS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Joseph K. Belanoff,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Caroline Loewy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Caroline Loewy</w:t>
      </w:r>
    </w:p>
    <w:p>
      <w:pPr>
        <w:sectPr>
          <w:pgSz w:w="11900" w:h="16838" w:orient="portrait"/>
          <w:cols w:equalWidth="0" w:num="1">
            <w:col w:w="9900"/>
          </w:cols>
          <w:pgMar w:left="700" w:top="280" w:right="12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of Corcept Therapeutics Incorporated (a development stage company) of our report dated March 30, 2009, with respect to the financial statements of Corcept Therapeutics Incorporated (a development stage company) included in this Annual Report (Form 10-K) for the year ended December 31, 2008:</w:t>
      </w:r>
    </w:p>
    <w:p>
      <w:pPr>
        <w:spacing w:after="0" w:line="59"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Form S-8 (No. 333-116127) pertaining to the 2000 Stock Option Plan and the 2004 Equity Incentive,</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Form S-3 (No. 333-149087) pertaining to debt securities, preferred stock, $0.001 par value per share, common stock, $0.001 par value per share, equity warrants and debt warrants issuable,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Form S-8 (No. 333-150199) pertaining to the 2004 Equity Incentive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Form S-3 (No. 333-150204) pertaining to common stock, $0.001 par value per share.</w:t>
      </w:r>
    </w:p>
    <w:p>
      <w:pPr>
        <w:spacing w:after="0" w:line="252"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2009</w:t>
      </w:r>
    </w:p>
    <w:p>
      <w:pPr>
        <w:sectPr>
          <w:pgSz w:w="11900" w:h="16838" w:orient="portrait"/>
          <w:cols w:equalWidth="0" w:num="1">
            <w:col w:w="11420"/>
          </w:cols>
          <w:pgMar w:left="240" w:top="12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K. Belanoff, M.D., certify that:</w:t>
      </w:r>
    </w:p>
    <w:p>
      <w:pPr>
        <w:spacing w:after="0" w:line="212"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2008 of Corcept Therapeutics Incorporated;</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K. Belanoff, M.D.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ectPr>
          <w:pgSz w:w="11900" w:h="16838" w:orient="portrait"/>
          <w:cols w:equalWidth="0" w:num="1">
            <w:col w:w="11420"/>
          </w:cols>
          <w:pgMar w:left="240" w:top="125"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Caroline M. Loewy, certify that:</w:t>
      </w:r>
    </w:p>
    <w:p>
      <w:pPr>
        <w:spacing w:after="0" w:line="212"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2008 of Corcept Therapeutics Incorporated;</w:t>
      </w:r>
    </w:p>
    <w:p>
      <w:pPr>
        <w:spacing w:after="0" w:line="211"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 CAROLINE M. LOEWY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Caroline M. Loewy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ectPr>
          <w:pgSz w:w="11900" w:h="16838" w:orient="portrait"/>
          <w:cols w:equalWidth="0" w:num="1">
            <w:col w:w="11420"/>
          </w:cols>
          <w:pgMar w:left="240" w:top="125"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Corcept Therapeutics Incorporated</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Annual Report of Corcept Therapeutics Incorporated (the “Company”) on Form 10-K for the period ended December 31, 2008, as filed with the Securities and Exchange Commission on the date hereof (the “Report”), I, Joseph K. Belanoff, M.D., Chief Executive Officer of the Company, certify, pursuant to 18 U.S.C. Section 1350, as adopted pursuant to Section 906 of the Sarbanes-Oxley Act of 2002, that:</w:t>
      </w:r>
    </w:p>
    <w:p>
      <w:pPr>
        <w:spacing w:after="0" w:line="147"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K. Belanoff, M.D.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ectPr>
          <w:pgSz w:w="11900" w:h="16838" w:orient="portrait"/>
          <w:cols w:equalWidth="0" w:num="1">
            <w:col w:w="11420"/>
          </w:cols>
          <w:pgMar w:left="240" w:top="12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Corcept Therapeutics Incorporated</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Annual Report of Corcept Therapeutics Incorporated (the “Company”) on Form 10-K for the period ended December 31, 2008, as filed with the Securities and Exchange Commission on the date hereof (the “Report”), I, Caroline M. Loewy,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 CAROLINE M. LOEWY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Caroline M. Loewy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lvl w:ilvl="1">
      <w:lvlJc w:val="left"/>
      <w:lvlText w:val="="/>
      <w:numFmt w:val="bullet"/>
      <w:start w:val="1"/>
    </w:lvl>
  </w:abstractNum>
  <w:abstractNum w:abstractNumId="10">
    <w:nsid w:val="7BD3EE7B"/>
    <w:multiLevelType w:val="hybridMultilevel"/>
    <w:lvl w:ilvl="0">
      <w:lvlJc w:val="left"/>
      <w:lvlText w:val="%1."/>
      <w:numFmt w:val="decimal"/>
      <w:start w:val="56"/>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1)"/>
      <w:numFmt w:val="decimal"/>
      <w:start w:val="1"/>
    </w:lvl>
  </w:abstractNum>
  <w:abstractNum w:abstractNumId="37">
    <w:nsid w:val="14E17E33"/>
    <w:multiLevelType w:val="hybridMultilevel"/>
    <w:lvl w:ilvl="0">
      <w:lvlJc w:val="left"/>
      <w:lvlText w:val="(%1)"/>
      <w:numFmt w:val="lowerLetter"/>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1."/>
      <w:numFmt w:val="decimal"/>
      <w:start w:val="1"/>
    </w:lvl>
  </w:abstractNum>
  <w:abstractNum w:abstractNumId="40">
    <w:nsid w:val="68EBC550"/>
    <w:multiLevelType w:val="hybridMultilevel"/>
    <w:lvl w:ilvl="0">
      <w:lvlJc w:val="left"/>
      <w:lvlText w:val="(%1)"/>
      <w:numFmt w:val="lowerLetter"/>
      <w:start w:val="1"/>
    </w:lvl>
  </w:abstractNum>
  <w:abstractNum w:abstractNumId="41">
    <w:nsid w:val="2DF6D648"/>
    <w:multiLevelType w:val="hybridMultilevel"/>
    <w:lvl w:ilvl="0">
      <w:lvlJc w:val="left"/>
      <w:lvlText w:val="(%1)"/>
      <w:numFmt w:val="lowerLetter"/>
      <w:start w:val="2"/>
    </w:lvl>
  </w:abstractNum>
  <w:abstractNum w:abstractNumId="42">
    <w:nsid w:val="46B7D447"/>
    <w:multiLevelType w:val="hybridMultilevel"/>
    <w:lvl w:ilvl="0">
      <w:lvlJc w:val="left"/>
      <w:lvlText w:val="(%1)"/>
      <w:numFmt w:val="lowerLetter"/>
      <w:start w:val="3"/>
    </w:lvl>
  </w:abstractNum>
  <w:abstractNum w:abstractNumId="43">
    <w:nsid w:val="4A2AC315"/>
    <w:multiLevelType w:val="hybridMultilevel"/>
    <w:lvl w:ilvl="0">
      <w:lvlJc w:val="left"/>
      <w:lvlText w:val="(%1)"/>
      <w:numFmt w:val="decimal"/>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1)"/>
      <w:numFmt w:val="decimal"/>
      <w:start w:val="1"/>
    </w:lvl>
  </w:abstractNum>
  <w:abstractNum w:abstractNumId="47">
    <w:nsid w:val="43F18422"/>
    <w:multiLevelType w:val="hybridMultilevel"/>
    <w:lvl w:ilvl="0">
      <w:lvlJc w:val="left"/>
      <w:lvlText w:val="(%1)"/>
      <w:numFmt w:val="decimal"/>
      <w:start w:val="1"/>
    </w:lvl>
  </w:abstractNum>
  <w:abstractNum w:abstractNumId="48">
    <w:nsid w:val="60EF0119"/>
    <w:multiLevelType w:val="hybridMultilevel"/>
    <w:lvl w:ilvl="0">
      <w:lvlJc w:val="left"/>
      <w:lvlText w:val="(%1)"/>
      <w:numFmt w:val="decimal"/>
      <w:start w:val="1"/>
    </w:lvl>
  </w:abstractNum>
  <w:abstractNum w:abstractNumId="49">
    <w:nsid w:val="26F324BA"/>
    <w:multiLevelType w:val="hybridMultilevel"/>
    <w:lvl w:ilvl="0">
      <w:lvlJc w:val="left"/>
      <w:lvlText w:val="(%1)"/>
      <w:numFmt w:val="decimal"/>
      <w:start w:val="1"/>
    </w:lvl>
    <w:lvl w:ilvl="1">
      <w:lvlJc w:val="left"/>
      <w:lvlText w:val="%2."/>
      <w:numFmt w:val="lowerLetter"/>
      <w:start w:val="1"/>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1."/>
      <w:numFmt w:val="decimal"/>
      <w:start w:val="1"/>
    </w:lvl>
  </w:abstractNum>
  <w:abstractNum w:abstractNumId="52">
    <w:nsid w:val="7055A5F5"/>
    <w:multiLevelType w:val="hybridMultilevel"/>
    <w:lvl w:ilvl="0">
      <w:lvlJc w:val="left"/>
      <w:lvlText w:val="(%1)"/>
      <w:numFmt w:val="decimal"/>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1)"/>
      <w:numFmt w:val="decimal"/>
      <w:start w:val="1"/>
    </w:lvl>
    <w:lvl w:ilvl="1">
      <w:lvlJc w:val="left"/>
      <w:lvlText w:val="(%2)"/>
      <w:numFmt w:val="lowerLetter"/>
      <w:start w:val="2"/>
    </w:lvl>
  </w:abstractNum>
  <w:abstractNum w:abstractNumId="55">
    <w:nsid w:val="488AC1A"/>
    <w:multiLevelType w:val="hybridMultilevel"/>
    <w:lvl w:ilvl="0">
      <w:lvlJc w:val="left"/>
      <w:lvlText w:val="%1"/>
      <w:numFmt w:val="decimal"/>
      <w:start w:val="1"/>
    </w:lvl>
    <w:lvl w:ilvl="1">
      <w:lvlJc w:val="left"/>
      <w:lvlText w:val="(%2)"/>
      <w:numFmt w:val="lowerLetter"/>
      <w:start w:val="4"/>
    </w:lvl>
  </w:abstractNum>
  <w:abstractNum w:abstractNumId="56">
    <w:nsid w:val="5FB8011C"/>
    <w:multiLevelType w:val="hybridMultilevel"/>
    <w:lvl w:ilvl="0">
      <w:lvlJc w:val="left"/>
      <w:lvlText w:val="(%1)"/>
      <w:numFmt w:val="decimal"/>
      <w:start w:val="5"/>
    </w:lvl>
    <w:lvl w:ilvl="1">
      <w:lvlJc w:val="left"/>
      <w:lvlText w:val="(%2)"/>
      <w:numFmt w:val="lowerLetter"/>
      <w:start w:val="2"/>
    </w:lvl>
  </w:abstractNum>
  <w:abstractNum w:abstractNumId="57">
    <w:nsid w:val="6AA78F7F"/>
    <w:multiLevelType w:val="hybridMultilevel"/>
    <w:lvl w:ilvl="0">
      <w:lvlJc w:val="left"/>
      <w:lvlText w:val="(%1)"/>
      <w:numFmt w:val="decimal"/>
      <w:start w:val="6"/>
    </w:lvl>
  </w:abstractNum>
  <w:abstractNum w:abstractNumId="58">
    <w:nsid w:val="7672BD23"/>
    <w:multiLevelType w:val="hybridMultilevel"/>
    <w:lvl w:ilvl="0">
      <w:lvlJc w:val="left"/>
      <w:lvlText w:val="(%1)"/>
      <w:numFmt w:val="decimal"/>
      <w:start w:val="2"/>
    </w:lvl>
  </w:abstractNum>
  <w:abstractNum w:abstractNumId="59">
    <w:nsid w:val="6FC75AF8"/>
    <w:multiLevelType w:val="hybridMultilevel"/>
    <w:lvl w:ilvl="0">
      <w:lvlJc w:val="left"/>
      <w:lvlText w:val="(%1)"/>
      <w:numFmt w:val="decimal"/>
      <w:start w:val="3"/>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1."/>
      <w:numFmt w:val="decimal"/>
      <w:start w:val="1"/>
    </w:lvl>
  </w:abstractNum>
  <w:abstractNum w:abstractNumId="63">
    <w:nsid w:val="73A1821B"/>
    <w:multiLevelType w:val="hybridMultilevel"/>
    <w:lvl w:ilvl="0">
      <w:lvlJc w:val="left"/>
      <w:lvlText w:val="•"/>
      <w:numFmt w:val="bullet"/>
      <w:start w:val="1"/>
    </w:lvl>
    <w:lvl w:ilvl="1">
      <w:lvlJc w:val="left"/>
      <w:lvlText w:val="¡"/>
      <w:numFmt w:val="bullet"/>
      <w:start w:val="1"/>
    </w:lvl>
  </w:abstractNum>
  <w:abstractNum w:abstractNumId="64">
    <w:nsid w:val="7DE67713"/>
    <w:multiLevelType w:val="hybridMultilevel"/>
    <w:lvl w:ilvl="0">
      <w:lvlJc w:val="left"/>
      <w:lvlText w:val="%1."/>
      <w:numFmt w:val="decimal"/>
      <w:start w:val="2"/>
    </w:lvl>
  </w:abstractNum>
  <w:abstractNum w:abstractNumId="65">
    <w:nsid w:val="555C55B5"/>
    <w:multiLevelType w:val="hybridMultilevel"/>
    <w:lvl w:ilvl="0">
      <w:lvlJc w:val="left"/>
      <w:lvlText w:val="%1."/>
      <w:numFmt w:val="decimal"/>
      <w:start w:val="9"/>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1)"/>
      <w:numFmt w:val="lowerLetter"/>
      <w:start w:val="2"/>
    </w:lvl>
  </w:abstractNum>
  <w:abstractNum w:abstractNumId="68">
    <w:nsid w:val="6A3DD3E8"/>
    <w:multiLevelType w:val="hybridMultilevel"/>
    <w:lvl w:ilvl="0">
      <w:lvlJc w:val="left"/>
      <w:lvlText w:val="%1."/>
      <w:numFmt w:val="decimal"/>
      <w:start w:val="11"/>
    </w:lvl>
  </w:abstractNum>
  <w:abstractNum w:abstractNumId="69">
    <w:nsid w:val="71C91298"/>
    <w:multiLevelType w:val="hybridMultilevel"/>
    <w:lvl w:ilvl="0">
      <w:lvlJc w:val="left"/>
      <w:lvlText w:val="(%1)"/>
      <w:numFmt w:val="decimal"/>
      <w:start w:val="1"/>
    </w:lvl>
    <w:lvl w:ilvl="1">
      <w:lvlJc w:val="left"/>
      <w:lvlText w:val="%2."/>
      <w:numFmt w:val="lowerLetter"/>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1."/>
      <w:numFmt w:val="decimal"/>
      <w:start w:val="1"/>
    </w:lvl>
    <w:lvl w:ilvl="1">
      <w:lvlJc w:val="left"/>
      <w:lvlText w:val="(%2)"/>
      <w:numFmt w:val="lowerLetter"/>
      <w:start w:val="1"/>
    </w:lvl>
  </w:abstractNum>
  <w:abstractNum w:abstractNumId="72">
    <w:nsid w:val="1FBFE8E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3">
    <w:nsid w:val="5092CA7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4">
    <w:nsid w:val="1D545C4D"/>
    <w:multiLevelType w:val="hybridMultilevel"/>
    <w:lvl w:ilvl="0">
      <w:lvlJc w:val="left"/>
      <w:lvlText w:val="%1"/>
      <w:numFmt w:val="lowerLetter"/>
      <w:start w:val="1"/>
    </w:lvl>
    <w:lvl w:ilvl="1">
      <w:lvlJc w:val="left"/>
      <w:lvlText w:val="(%2)"/>
      <w:numFmt w:val="lowerLetter"/>
      <w:start w:val="35"/>
    </w:lvl>
  </w:abstractNum>
  <w:abstractNum w:abstractNumId="75">
    <w:nsid w:val="59ADEA3D"/>
    <w:multiLevelType w:val="hybridMultilevel"/>
    <w:lvl w:ilvl="0">
      <w:lvlJc w:val="left"/>
      <w:lvlText w:val="(%1)"/>
      <w:numFmt w:val="lowerLetter"/>
      <w:start w:val="2"/>
    </w:lvl>
    <w:lvl w:ilvl="1">
      <w:lvlJc w:val="left"/>
      <w:lvlText w:val="(%2)"/>
      <w:numFmt w:val="lowerLetter"/>
      <w:start w:val="9"/>
    </w:lvl>
  </w:abstractNum>
  <w:abstractNum w:abstractNumId="76">
    <w:nsid w:val="288F1A34"/>
    <w:multiLevelType w:val="hybridMultilevel"/>
    <w:lvl w:ilvl="0">
      <w:lvlJc w:val="left"/>
      <w:lvlText w:val="(%1)"/>
      <w:numFmt w:val="lowerRoman"/>
      <w:start w:val="2"/>
    </w:lvl>
  </w:abstractNum>
  <w:abstractNum w:abstractNumId="77">
    <w:nsid w:val="2A155DBC"/>
    <w:multiLevelType w:val="hybridMultilevel"/>
    <w:lvl w:ilvl="0">
      <w:lvlJc w:val="left"/>
      <w:lvlText w:val="(%1)"/>
      <w:numFmt w:val="lowerLetter"/>
      <w:start w:val="3"/>
    </w:lvl>
  </w:abstractNum>
  <w:abstractNum w:abstractNumId="78">
    <w:nsid w:val="1D9F6E5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79">
    <w:nsid w:val="97E1B4E"/>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80">
    <w:nsid w:val="51088277"/>
    <w:multiLevelType w:val="hybridMultilevel"/>
    <w:lvl w:ilvl="0">
      <w:lvlJc w:val="left"/>
      <w:lvlText w:val="%1"/>
      <w:numFmt w:val="decimal"/>
      <w:start w:val="1"/>
    </w:lvl>
    <w:lvl w:ilvl="1">
      <w:lvlJc w:val="left"/>
      <w:lvlText w:val="(%2)"/>
      <w:numFmt w:val="lowerLetter"/>
      <w:start w:val="2"/>
    </w:lvl>
  </w:abstractNum>
  <w:abstractNum w:abstractNumId="81">
    <w:nsid w:val="1CA0C5FA"/>
    <w:multiLevelType w:val="hybridMultilevel"/>
    <w:lvl w:ilvl="0">
      <w:lvlJc w:val="left"/>
      <w:lvlText w:val="%1."/>
      <w:numFmt w:val="decimal"/>
      <w:start w:val="5"/>
    </w:lvl>
    <w:lvl w:ilvl="1">
      <w:lvlJc w:val="left"/>
      <w:lvlText w:val="%2"/>
      <w:numFmt w:val="lowerLetter"/>
      <w:start w:val="1"/>
    </w:lvl>
  </w:abstractNum>
  <w:abstractNum w:abstractNumId="82">
    <w:nsid w:val="53584BCB"/>
    <w:multiLevelType w:val="hybridMultilevel"/>
    <w:lvl w:ilvl="0">
      <w:lvlJc w:val="left"/>
      <w:lvlText w:val="%1."/>
      <w:numFmt w:val="decimal"/>
      <w:start w:val="8"/>
    </w:lvl>
  </w:abstractNum>
  <w:abstractNum w:abstractNumId="83">
    <w:nsid w:val="415E286C"/>
    <w:multiLevelType w:val="hybridMultilevel"/>
    <w:lvl w:ilvl="0">
      <w:lvlJc w:val="left"/>
      <w:lvlText w:val="%1."/>
      <w:numFmt w:val="decimal"/>
      <w:start w:val="1"/>
    </w:lvl>
    <w:lvl w:ilvl="1">
      <w:lvlJc w:val="left"/>
      <w:lvlText w:val="(%2)"/>
      <w:numFmt w:val="lowerLetter"/>
      <w:start w:val="1"/>
    </w:lvl>
  </w:abstractNum>
  <w:abstractNum w:abstractNumId="84">
    <w:nsid w:val="7C58FD0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5">
    <w:nsid w:val="23D86AA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86">
    <w:nsid w:val="45E6D486"/>
    <w:multiLevelType w:val="hybridMultilevel"/>
    <w:lvl w:ilvl="0">
      <w:lvlJc w:val="left"/>
      <w:lvlText w:val="%1"/>
      <w:numFmt w:val="lowerLetter"/>
      <w:start w:val="1"/>
    </w:lvl>
    <w:lvl w:ilvl="1">
      <w:lvlJc w:val="left"/>
      <w:lvlText w:val="(%2)"/>
      <w:numFmt w:val="lowerLetter"/>
      <w:start w:val="35"/>
    </w:lvl>
  </w:abstractNum>
  <w:abstractNum w:abstractNumId="87">
    <w:nsid w:val="5C10FE21"/>
    <w:multiLevelType w:val="hybridMultilevel"/>
    <w:lvl w:ilvl="0">
      <w:lvlJc w:val="left"/>
      <w:lvlText w:val="(%1)"/>
      <w:numFmt w:val="lowerLetter"/>
      <w:start w:val="2"/>
    </w:lvl>
    <w:lvl w:ilvl="1">
      <w:lvlJc w:val="left"/>
      <w:lvlText w:val="(%2)"/>
      <w:numFmt w:val="lowerLetter"/>
      <w:start w:val="9"/>
    </w:lvl>
  </w:abstractNum>
  <w:abstractNum w:abstractNumId="88">
    <w:nsid w:val="E7FFA2B"/>
    <w:multiLevelType w:val="hybridMultilevel"/>
    <w:lvl w:ilvl="0">
      <w:lvlJc w:val="left"/>
      <w:lvlText w:val="(%1)"/>
      <w:numFmt w:val="lowerRoman"/>
      <w:start w:val="2"/>
    </w:lvl>
  </w:abstractNum>
  <w:abstractNum w:abstractNumId="89">
    <w:nsid w:val="3C5991AA"/>
    <w:multiLevelType w:val="hybridMultilevel"/>
    <w:lvl w:ilvl="0">
      <w:lvlJc w:val="left"/>
      <w:lvlText w:val="(%1)"/>
      <w:numFmt w:val="lowerLetter"/>
      <w:start w:val="3"/>
    </w:lvl>
  </w:abstractNum>
  <w:abstractNum w:abstractNumId="90">
    <w:nsid w:val="4BD8591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91">
    <w:nsid w:val="78DF6A55"/>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92">
    <w:nsid w:val="39B7AAA2"/>
    <w:multiLevelType w:val="hybridMultilevel"/>
    <w:lvl w:ilvl="0">
      <w:lvlJc w:val="left"/>
      <w:lvlText w:val="%1"/>
      <w:numFmt w:val="decimal"/>
      <w:start w:val="1"/>
    </w:lvl>
    <w:lvl w:ilvl="1">
      <w:lvlJc w:val="left"/>
      <w:lvlText w:val="(%2)"/>
      <w:numFmt w:val="lowerLetter"/>
      <w:start w:val="2"/>
    </w:lvl>
  </w:abstractNum>
  <w:abstractNum w:abstractNumId="93">
    <w:nsid w:val="2B0D8DBE"/>
    <w:multiLevelType w:val="hybridMultilevel"/>
    <w:lvl w:ilvl="0">
      <w:lvlJc w:val="left"/>
      <w:lvlText w:val="%1."/>
      <w:numFmt w:val="decimal"/>
      <w:start w:val="5"/>
    </w:lvl>
    <w:lvl w:ilvl="1">
      <w:lvlJc w:val="left"/>
      <w:lvlText w:val="%2"/>
      <w:numFmt w:val="lowerLetter"/>
      <w:start w:val="1"/>
    </w:lvl>
  </w:abstractNum>
  <w:abstractNum w:abstractNumId="94">
    <w:nsid w:val="6C80EC70"/>
    <w:multiLevelType w:val="hybridMultilevel"/>
    <w:lvl w:ilvl="0">
      <w:lvlJc w:val="left"/>
      <w:lvlText w:val="%1."/>
      <w:numFmt w:val="decimal"/>
      <w:start w:val="8"/>
    </w:lvl>
  </w:abstractNum>
  <w:abstractNum w:abstractNumId="95">
    <w:nsid w:val="379E21B5"/>
    <w:multiLevelType w:val="hybridMultilevel"/>
    <w:lvl w:ilvl="0">
      <w:lvlJc w:val="left"/>
      <w:lvlText w:val="%1."/>
      <w:numFmt w:val="decimal"/>
      <w:start w:val="1"/>
    </w:lvl>
    <w:lvl w:ilvl="1">
      <w:lvlJc w:val="left"/>
      <w:lvlText w:val="(%2)"/>
      <w:numFmt w:val="lowerLetter"/>
      <w:start w:val="1"/>
    </w:lvl>
  </w:abstractNum>
  <w:abstractNum w:abstractNumId="96">
    <w:nsid w:val="69E37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7">
    <w:nsid w:val="2C27173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98">
    <w:nsid w:val="4C9B0904"/>
    <w:multiLevelType w:val="hybridMultilevel"/>
    <w:lvl w:ilvl="0">
      <w:lvlJc w:val="left"/>
      <w:lvlText w:val="%1"/>
      <w:numFmt w:val="lowerLetter"/>
      <w:start w:val="1"/>
    </w:lvl>
    <w:lvl w:ilvl="1">
      <w:lvlJc w:val="left"/>
      <w:lvlText w:val="(%2)"/>
      <w:numFmt w:val="lowerLetter"/>
      <w:start w:val="35"/>
    </w:lvl>
  </w:abstractNum>
  <w:abstractNum w:abstractNumId="99">
    <w:nsid w:val="6AA7B75C"/>
    <w:multiLevelType w:val="hybridMultilevel"/>
    <w:lvl w:ilvl="0">
      <w:lvlJc w:val="left"/>
      <w:lvlText w:val="(%1)"/>
      <w:numFmt w:val="lowerLetter"/>
      <w:start w:val="2"/>
    </w:lvl>
    <w:lvl w:ilvl="1">
      <w:lvlJc w:val="left"/>
      <w:lvlText w:val="(%2)"/>
      <w:numFmt w:val="lowerLetter"/>
      <w:start w:val="9"/>
    </w:lvl>
  </w:abstractNum>
  <w:abstractNum w:abstractNumId="100">
    <w:nsid w:val="1DF029D3"/>
    <w:multiLevelType w:val="hybridMultilevel"/>
    <w:lvl w:ilvl="0">
      <w:lvlJc w:val="left"/>
      <w:lvlText w:val="(%1)"/>
      <w:numFmt w:val="lowerRoman"/>
      <w:start w:val="2"/>
    </w:lvl>
  </w:abstractNum>
  <w:abstractNum w:abstractNumId="101">
    <w:nsid w:val="5675FF36"/>
    <w:multiLevelType w:val="hybridMultilevel"/>
    <w:lvl w:ilvl="0">
      <w:lvlJc w:val="left"/>
      <w:lvlText w:val="(%1)"/>
      <w:numFmt w:val="lowerLetter"/>
      <w:start w:val="3"/>
    </w:lvl>
  </w:abstractNum>
  <w:abstractNum w:abstractNumId="102">
    <w:nsid w:val="3DD15094"/>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3">
    <w:nsid w:val="3DB012B3"/>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104">
    <w:nsid w:val="2708C9AF"/>
    <w:multiLevelType w:val="hybridMultilevel"/>
    <w:lvl w:ilvl="0">
      <w:lvlJc w:val="left"/>
      <w:lvlText w:val="%1"/>
      <w:numFmt w:val="decimal"/>
      <w:start w:val="1"/>
    </w:lvl>
    <w:lvl w:ilvl="1">
      <w:lvlJc w:val="left"/>
      <w:lvlText w:val="(%2)"/>
      <w:numFmt w:val="lowerLetter"/>
      <w:start w:val="2"/>
    </w:lvl>
  </w:abstractNum>
  <w:abstractNum w:abstractNumId="105">
    <w:nsid w:val="5B25ACE2"/>
    <w:multiLevelType w:val="hybridMultilevel"/>
    <w:lvl w:ilvl="0">
      <w:lvlJc w:val="left"/>
      <w:lvlText w:val="%1."/>
      <w:numFmt w:val="decimal"/>
      <w:start w:val="5"/>
    </w:lvl>
    <w:lvl w:ilvl="1">
      <w:lvlJc w:val="left"/>
      <w:lvlText w:val="%2"/>
      <w:numFmt w:val="lowerLetter"/>
      <w:start w:val="1"/>
    </w:lvl>
  </w:abstractNum>
  <w:abstractNum w:abstractNumId="106">
    <w:nsid w:val="175DFCF0"/>
    <w:multiLevelType w:val="hybridMultilevel"/>
    <w:lvl w:ilvl="0">
      <w:lvlJc w:val="left"/>
      <w:lvlText w:val="%1."/>
      <w:numFmt w:val="decimal"/>
      <w:start w:val="8"/>
    </w:lvl>
  </w:abstractNum>
  <w:abstractNum w:abstractNumId="107">
    <w:nsid w:val="4F97E3E4"/>
    <w:multiLevelType w:val="hybridMultilevel"/>
    <w:lvl w:ilvl="0">
      <w:lvlJc w:val="left"/>
      <w:lvlText w:val="%1."/>
      <w:numFmt w:val="decimal"/>
      <w:start w:val="1"/>
    </w:lvl>
    <w:lvl w:ilvl="1">
      <w:lvlJc w:val="left"/>
      <w:lvlText w:val="(%2)"/>
      <w:numFmt w:val="lowerLetter"/>
      <w:start w:val="1"/>
    </w:lvl>
  </w:abstractNum>
  <w:abstractNum w:abstractNumId="108">
    <w:nsid w:val="53B0A9E"/>
    <w:multiLevelType w:val="hybridMultilevel"/>
    <w:lvl w:ilvl="0">
      <w:lvlJc w:val="left"/>
      <w:lvlText w:val="%1"/>
      <w:numFmt w:val="decimal"/>
      <w:start w:val="1"/>
    </w:lvl>
    <w:lvl w:ilvl="1">
      <w:lvlJc w:val="left"/>
      <w:lvlText w:val="(%2)"/>
      <w:numFmt w:val="lowerLetter"/>
      <w:start w:val="3"/>
    </w:lvl>
  </w:abstractNum>
  <w:abstractNum w:abstractNumId="109">
    <w:nsid w:val="34FD6B4F"/>
    <w:multiLevelType w:val="hybridMultilevel"/>
    <w:lvl w:ilvl="0">
      <w:lvlJc w:val="left"/>
      <w:lvlText w:val="%1."/>
      <w:numFmt w:val="decimal"/>
      <w:start w:val="2"/>
    </w:lvl>
    <w:lvl w:ilvl="1">
      <w:lvlJc w:val="left"/>
      <w:lvlText w:val="(%2)"/>
      <w:numFmt w:val="lowerLetter"/>
      <w:start w:val="1"/>
    </w:lvl>
  </w:abstractNum>
  <w:abstractNum w:abstractNumId="110">
    <w:nsid w:val="5915FF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1">
    <w:nsid w:val="56438D1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12">
    <w:nsid w:val="519E314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13">
    <w:nsid w:val="2C6E4AFD"/>
    <w:multiLevelType w:val="hybridMultilevel"/>
    <w:lvl w:ilvl="0">
      <w:lvlJc w:val="left"/>
      <w:lvlText w:val="%1."/>
      <w:numFmt w:val="decimal"/>
      <w:start w:val="4"/>
    </w:lvl>
    <w:lvl w:ilvl="1">
      <w:lvlJc w:val="left"/>
      <w:lvlText w:val="(%2)"/>
      <w:numFmt w:val="lowerLetter"/>
      <w:start w:val="2"/>
    </w:lvl>
  </w:abstractNum>
  <w:abstractNum w:abstractNumId="114">
    <w:nsid w:val="17A1B582"/>
    <w:multiLevelType w:val="hybridMultilevel"/>
    <w:lvl w:ilvl="0">
      <w:lvlJc w:val="left"/>
      <w:lvlText w:val="%1."/>
      <w:numFmt w:val="decimal"/>
      <w:start w:val="7"/>
    </w:lvl>
  </w:abstractNum>
  <w:abstractNum w:abstractNumId="115">
    <w:nsid w:val="4DF72E4E"/>
    <w:multiLevelType w:val="hybridMultilevel"/>
    <w:lvl w:ilvl="0">
      <w:lvlJc w:val="left"/>
      <w:lvlText w:val="%1."/>
      <w:numFmt w:val="decimal"/>
      <w:start w:val="1"/>
    </w:lvl>
  </w:abstractNum>
  <w:abstractNum w:abstractNumId="116">
    <w:nsid w:val="5046B5A9"/>
    <w:multiLevelType w:val="hybridMultilevel"/>
    <w:lvl w:ilvl="0">
      <w:lvlJc w:val="left"/>
      <w:lvlText w:val="%1."/>
      <w:numFmt w:val="decimal"/>
      <w:start w:val="8"/>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decimal"/>
      <w:start w:val="9"/>
    </w:lvl>
  </w:abstractNum>
  <w:abstractNum w:abstractNumId="119">
    <w:nsid w:val="5EC6AFD4"/>
    <w:multiLevelType w:val="hybridMultilevel"/>
    <w:lvl w:ilvl="0">
      <w:lvlJc w:val="left"/>
      <w:lvlText w:val="%1."/>
      <w:numFmt w:val="decimal"/>
      <w:start w:val="11"/>
    </w:lvl>
  </w:abstractNum>
  <w:abstractNum w:abstractNumId="120">
    <w:nsid w:val="19E21BB2"/>
    <w:multiLevelType w:val="hybridMultilevel"/>
    <w:lvl w:ilvl="0">
      <w:lvlJc w:val="left"/>
      <w:lvlText w:val="%1."/>
      <w:numFmt w:val="decimal"/>
      <w:start w:val="1"/>
    </w:lvl>
  </w:abstractNum>
  <w:abstractNum w:abstractNumId="121">
    <w:nsid w:val="75E0858A"/>
    <w:multiLevelType w:val="hybridMultilevel"/>
    <w:lvl w:ilvl="0">
      <w:lvlJc w:val="left"/>
      <w:lvlText w:val="%1."/>
      <w:numFmt w:val="decimal"/>
      <w:start w:val="2"/>
    </w:lvl>
  </w:abstractNum>
  <w:abstractNum w:abstractNumId="122">
    <w:nsid w:val="57A61A29"/>
    <w:multiLevelType w:val="hybridMultilevel"/>
    <w:lvl w:ilvl="0">
      <w:lvlJc w:val="left"/>
      <w:lvlText w:val="%1."/>
      <w:numFmt w:val="decimal"/>
      <w:start w:val="1"/>
    </w:lvl>
    <w:lvl w:ilvl="1">
      <w:lvlJc w:val="left"/>
      <w:lvlText w:val="(%2)"/>
      <w:numFmt w:val="lowerLetter"/>
      <w:start w:val="1"/>
    </w:lvl>
  </w:abstractNum>
  <w:abstractNum w:abstractNumId="123">
    <w:nsid w:val="5399C65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4">
    <w:nsid w:val="20EE134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5">
    <w:nsid w:val="4427069A"/>
    <w:multiLevelType w:val="hybridMultilevel"/>
    <w:lvl w:ilvl="0">
      <w:lvlJc w:val="left"/>
      <w:lvlText w:val="%1"/>
      <w:numFmt w:val="lowerLetter"/>
      <w:start w:val="1"/>
    </w:lvl>
    <w:lvl w:ilvl="1">
      <w:lvlJc w:val="left"/>
      <w:lvlText w:val="(%2)"/>
      <w:numFmt w:val="lowerLetter"/>
      <w:start w:val="35"/>
    </w:lvl>
  </w:abstractNum>
  <w:abstractNum w:abstractNumId="126">
    <w:nsid w:val="B37E80A"/>
    <w:multiLevelType w:val="hybridMultilevel"/>
    <w:lvl w:ilvl="0">
      <w:lvlJc w:val="left"/>
      <w:lvlText w:val="(%1)"/>
      <w:numFmt w:val="lowerLetter"/>
      <w:start w:val="2"/>
    </w:lvl>
    <w:lvl w:ilvl="1">
      <w:lvlJc w:val="left"/>
      <w:lvlText w:val="(%2)"/>
      <w:numFmt w:val="lowerLetter"/>
      <w:start w:val="9"/>
    </w:lvl>
  </w:abstractNum>
  <w:abstractNum w:abstractNumId="127">
    <w:nsid w:val="2157F6BC"/>
    <w:multiLevelType w:val="hybridMultilevel"/>
    <w:lvl w:ilvl="0">
      <w:lvlJc w:val="left"/>
      <w:lvlText w:val="%1"/>
      <w:numFmt w:val="lowerLetter"/>
      <w:start w:val="1"/>
    </w:lvl>
    <w:lvl w:ilvl="1">
      <w:lvlJc w:val="left"/>
      <w:lvlText w:val="(%2)"/>
      <w:numFmt w:val="lowerRoman"/>
      <w:start w:val="2"/>
    </w:lvl>
  </w:abstractNum>
  <w:abstractNum w:abstractNumId="128">
    <w:nsid w:val="704E1DD5"/>
    <w:multiLevelType w:val="hybridMultilevel"/>
    <w:lvl w:ilvl="0">
      <w:lvlJc w:val="left"/>
      <w:lvlText w:val="(%1)"/>
      <w:numFmt w:val="lowerLetter"/>
      <w:start w:val="3"/>
    </w:lvl>
    <w:lvl w:ilvl="1">
      <w:lvlJc w:val="left"/>
      <w:lvlText w:val="%2"/>
      <w:numFmt w:val="lowerRoman"/>
      <w:start w:val="1"/>
    </w:lvl>
  </w:abstractNum>
  <w:abstractNum w:abstractNumId="129">
    <w:nsid w:val="57D2F10E"/>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30">
    <w:nsid w:val="BFFAE18"/>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131">
    <w:nsid w:val="E3E47A8"/>
    <w:multiLevelType w:val="hybridMultilevel"/>
    <w:lvl w:ilvl="0">
      <w:lvlJc w:val="left"/>
      <w:lvlText w:val="%1"/>
      <w:numFmt w:val="decimal"/>
      <w:start w:val="1"/>
    </w:lvl>
    <w:lvl w:ilvl="1">
      <w:lvlJc w:val="left"/>
      <w:lvlText w:val="(%2)"/>
      <w:numFmt w:val="lowerLetter"/>
      <w:start w:val="2"/>
    </w:lvl>
  </w:abstractNum>
  <w:abstractNum w:abstractNumId="132">
    <w:nsid w:val="2E48F044"/>
    <w:multiLevelType w:val="hybridMultilevel"/>
    <w:lvl w:ilvl="0">
      <w:lvlJc w:val="left"/>
      <w:lvlText w:val="%1."/>
      <w:numFmt w:val="decimal"/>
      <w:start w:val="5"/>
    </w:lvl>
    <w:lvl w:ilvl="1">
      <w:lvlJc w:val="left"/>
      <w:lvlText w:val="%2"/>
      <w:numFmt w:val="lowerLetter"/>
      <w:start w:val="1"/>
    </w:lvl>
  </w:abstractNum>
  <w:abstractNum w:abstractNumId="133">
    <w:nsid w:val="49D0FEAC"/>
    <w:multiLevelType w:val="hybridMultilevel"/>
    <w:lvl w:ilvl="0">
      <w:lvlJc w:val="left"/>
      <w:lvlText w:val="%1."/>
      <w:numFmt w:val="decimal"/>
      <w:start w:val="9"/>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2019-12-10T18:02:32Z</dcterms:created>
  <dcterms:modified xsi:type="dcterms:W3CDTF">2019-12-10T18:02:32Z</dcterms:modified>
</cp:coreProperties>
</file>