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Vieira Roberto Wandenkolk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Oncology</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199 shares underlying unvested restricted stock awards granted to the Reporting Person by the Issuer on September 2, 2025, 179 shares underlying unvested restricted stock awards granted to the Reporting Person by the Issuer on December 1, 2025, 396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vested or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originally 400,000 shares subject to the stock option and an aggregate of 200,000 shares have been previously exercised. The shares subject to the stock option vested and became exercisable with respect to 25% of the shares underlying the option on January 29, 2025 with the remaining shares vesting and becoming exercisable ratably on a monthly basis over a period of 36 consecutive months thereafter until fully vested and exercisable on January 29, 2028, subject to the Reporting Person's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Exercisable ratably in equal installments on each monthly anniversary of February 28, 2025 over a four-year period subject to the Reporting Person's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Exercisable ratably in equal installments on each monthly anniversary of February 27, 2026 over a four-year period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Joseph Douglas Lyon, as attorney-in-fact for Roberto Vieira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4"/>
        </w:rPr>
      </w:pPr>
      <w:bookmarkStart w:id="2" w:name="cort-ex24.htm"/>
      <w:bookmarkStart w:id="3" w:name="kscortex24"/>
      <w:bookmarkEnd w:id="2"/>
      <w:bookmarkEnd w:id="3"/>
      <w:r>
        <w:rPr>
          <w:rFonts w:ascii="Times New Roman" w:hAnsi="Times New Roman"/>
          <w:b/>
          <w:color w:val="000000"/>
          <w:sz w:val="24"/>
        </w:rPr>
        <w:t>POWER OF ATTORNEY</w:t>
      </w:r>
      <w:r>
        <w:br w:type="page"/>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Joseph K. Belanoff, M.D., in his capacity as Chief Executive Officer of Corcept Therapeutics Incorporated (the “Company”), G. Charles Robb, in his capacity as Chief Business Officer of the Company, Atabak Mokari, in his capacity as Chief Financial Officer of the Company, Joseph Douglas Lyon, in his capacity as Chief Accounting and Technology Officer of the Company, and any of them with full power of substitution of their respective successors in any such offices, signing singly,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 xml:space="preserve">execute for and on behalf of the undersigned, in the undersigned's capacity as an officer of the Company, Forms 3, 4, and 5 and any amendments thereto in accordance with Section 16(a) of the Securities Exchange Act of 1934, as amended, and the rules promulgated thereunder or Forms 144 in accordance with Rule 144 (“Rule 144”) under the Securities Act of 1933, as amended;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5 and 144, complete and execute any amendment or amendments thereto, and timely file such forms or amendments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with respect to the undersigned until the earliest to occur of (a) such date that the undersigned is no longer required to file Forms 3, 4, 5 and 144 with respect to the undersigned's holdings of and transactions in securities issued by the Company, or (b) the revocation by the undersigned in a signed writing delivered to the Company and the foregoing attorneys-in-fact. </w:t>
      </w:r>
    </w:p>
    <w:p>
      <w:pPr>
        <w:pStyle w:val="TextBody"/>
        <w:bidi w:val="0"/>
        <w:jc w:val="both"/>
        <w:rPr>
          <w:rFonts w:ascii="Times New Roman" w:hAnsi="Times New Roman"/>
          <w:color w:val="000000"/>
          <w:sz w:val="24"/>
        </w:rPr>
      </w:pPr>
      <w:r>
        <w:rPr>
          <w:rFonts w:ascii="Times New Roman" w:hAnsi="Times New Roman"/>
          <w:color w:val="000000"/>
          <w:sz w:val="24"/>
        </w:rPr>
        <w:t xml:space="preserve">IN WITNESS WHEREOF, the undersigned has caused this Power of Attorney to be executed as of this 2nd day of September, 2026. </w:t>
      </w:r>
    </w:p>
    <w:p>
      <w:pPr>
        <w:pStyle w:val="TextBody"/>
        <w:bidi w:val="0"/>
        <w:jc w:val="left"/>
        <w:rPr/>
      </w:pPr>
      <w:r>
        <w:rPr/>
        <w:t> </w:t>
      </w:r>
    </w:p>
    <w:p>
      <w:pPr>
        <w:pStyle w:val="TextBody"/>
        <w:bidi w:val="0"/>
        <w:jc w:val="left"/>
        <w:rPr/>
      </w:pPr>
      <w:r>
        <w:rPr/>
        <w:t> </w:t>
      </w:r>
    </w:p>
    <w:tbl>
      <w:tblPr>
        <w:tblW w:w="2912" w:type="dxa"/>
        <w:jc w:val="left"/>
        <w:tblInd w:w="0" w:type="dxa"/>
        <w:tblLayout w:type="fixed"/>
        <w:tblCellMar>
          <w:top w:w="28" w:type="dxa"/>
          <w:left w:w="28" w:type="dxa"/>
          <w:bottom w:w="28" w:type="dxa"/>
          <w:right w:w="28" w:type="dxa"/>
        </w:tblCellMar>
      </w:tblPr>
      <w:tblGrid>
        <w:gridCol w:w="1081"/>
        <w:gridCol w:w="1831"/>
      </w:tblGrid>
      <w:tr>
        <w:trPr/>
        <w:tc>
          <w:tcPr>
            <w:tcW w:w="108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Roberto Vieira</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Roberto Vieira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104" TargetMode="External"/><Relationship Id="rId3" Type="http://schemas.openxmlformats.org/officeDocument/2006/relationships/hyperlink" Target="http://www.sec.gov/cgi-bin/browse-edgar?action=getcompany&amp;CIK=000108885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1320</Words>
  <Characters>7036</Characters>
  <CharactersWithSpaces>8279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