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068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068695"/>
                    </a:xfrm>
                    <a:prstGeom prst="rect">
                      <a:avLst/>
                    </a:prstGeom>
                    <a:noFill/>
                  </pic:spPr>
                </pic:pic>
              </a:graphicData>
            </a:graphic>
          </wp:anchor>
        </w:drawing>
      </w:r>
    </w:p>
    <w:p>
      <w:pPr>
        <w:spacing w:after="0" w:line="1235" w:lineRule="exact"/>
        <w:rPr>
          <w:sz w:val="24"/>
          <w:szCs w:val="24"/>
          <w:color w:val="auto"/>
        </w:rPr>
      </w:pPr>
    </w:p>
    <w:p>
      <w:pPr>
        <w:sectPr>
          <w:pgSz w:w="11900" w:h="16879" w:orient="portrait"/>
          <w:cols w:equalWidth="0" w:num="2">
            <w:col w:w="2320" w:space="260"/>
            <w:col w:w="8500"/>
          </w:cols>
          <w:pgMar w:left="460" w:top="217"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Mokari Atabak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640"/>
        <w:spacing w:after="0" w:line="302" w:lineRule="auto"/>
        <w:rPr>
          <w:sz w:val="20"/>
          <w:szCs w:val="20"/>
          <w:color w:val="auto"/>
        </w:rPr>
      </w:pPr>
      <w:r>
        <w:rPr>
          <w:rFonts w:ascii="Times New Roman" w:cs="Times New Roman" w:eastAsia="Times New Roman" w:hAnsi="Times New Roman"/>
          <w:sz w:val="16"/>
          <w:szCs w:val="16"/>
          <w:color w:val="0000FF"/>
        </w:rPr>
        <w:t>C/O CORCEPT THERAPEUTICS INCORPORATED</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101 REDWOOD SHORES PARKWAY</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tcPr>
          <w:p>
            <w:pPr>
              <w:jc w:val="right"/>
              <w:ind w:right="563"/>
              <w:spacing w:after="0"/>
              <w:rPr>
                <w:sz w:val="20"/>
                <w:szCs w:val="20"/>
                <w:color w:val="auto"/>
              </w:rPr>
            </w:pPr>
            <w:r>
              <w:rPr>
                <w:rFonts w:ascii="Arial" w:cs="Arial" w:eastAsia="Arial" w:hAnsi="Arial"/>
                <w:sz w:val="13"/>
                <w:szCs w:val="13"/>
                <w:color w:val="auto"/>
                <w:w w:val="96"/>
              </w:rPr>
              <w:t>(Street)</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1080" w:type="dxa"/>
            <w:vAlign w:val="bottom"/>
          </w:tcPr>
          <w:p>
            <w:pPr>
              <w:jc w:val="right"/>
              <w:ind w:right="103"/>
              <w:spacing w:after="0"/>
              <w:rPr>
                <w:sz w:val="20"/>
                <w:szCs w:val="20"/>
                <w:color w:val="auto"/>
              </w:rPr>
            </w:pPr>
            <w:r>
              <w:rPr>
                <w:rFonts w:ascii="Times New Roman" w:cs="Times New Roman" w:eastAsia="Times New Roman" w:hAnsi="Times New Roman"/>
                <w:sz w:val="17"/>
                <w:szCs w:val="17"/>
                <w:color w:val="0000FF"/>
              </w:rPr>
              <w:t>REDWOOD</w:t>
            </w:r>
          </w:p>
        </w:tc>
        <w:tc>
          <w:tcPr>
            <w:tcW w:w="9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CA</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94065</w:t>
            </w:r>
          </w:p>
        </w:tc>
        <w:tc>
          <w:tcPr>
            <w:tcW w:w="0" w:type="dxa"/>
            <w:vAlign w:val="bottom"/>
          </w:tcPr>
          <w:p>
            <w:pPr>
              <w:spacing w:after="0"/>
              <w:rPr>
                <w:sz w:val="1"/>
                <w:szCs w:val="1"/>
                <w:color w:val="auto"/>
              </w:rPr>
            </w:pPr>
          </w:p>
        </w:tc>
      </w:tr>
      <w:tr>
        <w:trPr>
          <w:trHeight w:val="114"/>
        </w:trPr>
        <w:tc>
          <w:tcPr>
            <w:tcW w:w="1080" w:type="dxa"/>
            <w:vAlign w:val="bottom"/>
            <w:vMerge w:val="restart"/>
          </w:tcPr>
          <w:p>
            <w:pPr>
              <w:jc w:val="right"/>
              <w:ind w:right="563"/>
              <w:spacing w:after="0"/>
              <w:rPr>
                <w:sz w:val="20"/>
                <w:szCs w:val="20"/>
                <w:color w:val="auto"/>
              </w:rPr>
            </w:pPr>
            <w:r>
              <w:rPr>
                <w:rFonts w:ascii="Times New Roman" w:cs="Times New Roman" w:eastAsia="Times New Roman" w:hAnsi="Times New Roman"/>
                <w:sz w:val="17"/>
                <w:szCs w:val="17"/>
                <w:color w:val="0000FF"/>
              </w:rPr>
              <w:t>CITY</w:t>
            </w:r>
          </w:p>
        </w:tc>
        <w:tc>
          <w:tcPr>
            <w:tcW w:w="92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08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12"/>
        </w:trPr>
        <w:tc>
          <w:tcPr>
            <w:tcW w:w="80" w:type="dxa"/>
            <w:vAlign w:val="bottom"/>
          </w:tcPr>
          <w:p>
            <w:pPr>
              <w:spacing w:after="0"/>
              <w:rPr>
                <w:sz w:val="18"/>
                <w:szCs w:val="18"/>
                <w:color w:val="auto"/>
              </w:rPr>
            </w:pPr>
          </w:p>
        </w:tc>
        <w:tc>
          <w:tcPr>
            <w:tcW w:w="3760" w:type="dxa"/>
            <w:vAlign w:val="bottom"/>
            <w:gridSpan w:val="3"/>
          </w:tcPr>
          <w:p>
            <w:pPr>
              <w:spacing w:after="0" w:line="206"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CORCEPT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CORT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43"/>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80" w:type="dxa"/>
            <w:vAlign w:val="bottom"/>
            <w:tcBorders>
              <w:top w:val="single" w:sz="8" w:color="0000EE"/>
            </w:tcBorders>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3"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3" w:lineRule="exact"/>
              <w:rPr>
                <w:sz w:val="20"/>
                <w:szCs w:val="20"/>
                <w:color w:val="auto"/>
              </w:rPr>
            </w:pPr>
            <w:r>
              <w:rPr>
                <w:rFonts w:ascii="Arial" w:cs="Arial" w:eastAsia="Arial" w:hAnsi="Arial"/>
                <w:sz w:val="13"/>
                <w:szCs w:val="13"/>
                <w:color w:val="auto"/>
              </w:rPr>
              <w:t>10% Owner</w:t>
            </w:r>
          </w:p>
        </w:tc>
      </w:tr>
      <w:tr>
        <w:trPr>
          <w:trHeight w:val="154"/>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147"/>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78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42" w:lineRule="exact"/>
              <w:rPr>
                <w:sz w:val="20"/>
                <w:szCs w:val="20"/>
                <w:color w:val="auto"/>
              </w:rPr>
            </w:pPr>
            <w:r>
              <w:rPr>
                <w:rFonts w:ascii="Arial" w:cs="Arial" w:eastAsia="Arial" w:hAnsi="Arial"/>
                <w:sz w:val="13"/>
                <w:szCs w:val="13"/>
                <w:color w:val="auto"/>
              </w:rPr>
              <w:t>below)</w:t>
            </w: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3100" w:type="dxa"/>
            <w:vAlign w:val="bottom"/>
            <w:gridSpan w:val="2"/>
          </w:tcPr>
          <w:p>
            <w:pPr>
              <w:ind w:left="680"/>
              <w:spacing w:after="0" w:line="194" w:lineRule="exact"/>
              <w:rPr>
                <w:sz w:val="20"/>
                <w:szCs w:val="20"/>
                <w:color w:val="auto"/>
              </w:rPr>
            </w:pPr>
            <w:r>
              <w:rPr>
                <w:rFonts w:ascii="Times New Roman" w:cs="Times New Roman" w:eastAsia="Times New Roman" w:hAnsi="Times New Roman"/>
                <w:sz w:val="17"/>
                <w:szCs w:val="17"/>
                <w:color w:val="0000FF"/>
              </w:rPr>
              <w:t>Chief Financial Officer</w:t>
            </w:r>
          </w:p>
        </w:tc>
      </w:tr>
      <w:tr>
        <w:trPr>
          <w:trHeight w:val="217"/>
        </w:trPr>
        <w:tc>
          <w:tcPr>
            <w:tcW w:w="2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40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79" w:orient="portrait"/>
          <w:cols w:equalWidth="0" w:num="2">
            <w:col w:w="3120" w:space="720"/>
            <w:col w:w="7240"/>
          </w:cols>
          <w:pgMar w:left="460" w:top="217" w:right="359" w:bottom="0" w:gutter="0" w:footer="0" w:header="0"/>
          <w:type w:val="continuous"/>
        </w:sectPr>
      </w:pPr>
    </w:p>
    <w:p>
      <w:pPr>
        <w:spacing w:after="0" w:line="5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06/15/2026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40,000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19.26</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56,130</w:t>
            </w:r>
            <w:r>
              <w:rPr>
                <w:rFonts w:ascii="Times New Roman" w:cs="Times New Roman" w:eastAsia="Times New Roman" w:hAnsi="Times New Roman"/>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06/15/2026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9,434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80.0216</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46,696</w:t>
            </w:r>
            <w:r>
              <w:rPr>
                <w:rFonts w:ascii="Times New Roman" w:cs="Times New Roman" w:eastAsia="Times New Roman" w:hAnsi="Times New Roman"/>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06/15/2026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11,081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80.9424</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35,615</w:t>
            </w:r>
            <w:r>
              <w:rPr>
                <w:rFonts w:ascii="Times New Roman" w:cs="Times New Roman" w:eastAsia="Times New Roman" w:hAnsi="Times New Roman"/>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06/15/2026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19,483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81.8092</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16,132</w:t>
            </w:r>
            <w:r>
              <w:rPr>
                <w:rFonts w:ascii="Times New Roman" w:cs="Times New Roman" w:eastAsia="Times New Roman" w:hAnsi="Times New Roman"/>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jc w:val="center"/>
              <w:ind w:left="469"/>
              <w:spacing w:after="0"/>
              <w:rPr>
                <w:sz w:val="20"/>
                <w:szCs w:val="20"/>
                <w:color w:val="auto"/>
              </w:rPr>
            </w:pPr>
            <w:r>
              <w:rPr>
                <w:rFonts w:ascii="Times New Roman" w:cs="Times New Roman" w:eastAsia="Times New Roman" w:hAnsi="Times New Roman"/>
                <w:sz w:val="17"/>
                <w:szCs w:val="17"/>
                <w:color w:val="0000FF"/>
                <w:w w:val="98"/>
              </w:rPr>
              <w:t>06/15/2026</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82.45</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16,130</w:t>
            </w:r>
            <w:r>
              <w:rPr>
                <w:rFonts w:ascii="Times New Roman" w:cs="Times New Roman" w:eastAsia="Times New Roman" w:hAnsi="Times New Roman"/>
                <w:sz w:val="21"/>
                <w:szCs w:val="21"/>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19.26</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06/15/2026</w:t>
            </w:r>
          </w:p>
        </w:tc>
        <w:tc>
          <w:tcPr>
            <w:tcW w:w="1140" w:type="dxa"/>
            <w:vAlign w:val="bottom"/>
          </w:tcPr>
          <w:p>
            <w:pPr>
              <w:spacing w:after="0"/>
              <w:rPr>
                <w:sz w:val="16"/>
                <w:szCs w:val="16"/>
                <w:color w:val="auto"/>
              </w:rPr>
            </w:pPr>
          </w:p>
        </w:tc>
        <w:tc>
          <w:tcPr>
            <w:tcW w:w="4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40,000</w:t>
            </w:r>
          </w:p>
        </w:tc>
        <w:tc>
          <w:tcPr>
            <w:tcW w:w="80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02/02/2032</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180" w:type="dxa"/>
            <w:vAlign w:val="bottom"/>
          </w:tcPr>
          <w:p>
            <w:pPr>
              <w:spacing w:after="0"/>
              <w:rPr>
                <w:sz w:val="16"/>
                <w:szCs w:val="16"/>
                <w:color w:val="auto"/>
              </w:rPr>
            </w:pPr>
          </w:p>
        </w:tc>
        <w:tc>
          <w:tcPr>
            <w:tcW w:w="56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20,000</w:t>
            </w:r>
          </w:p>
        </w:tc>
        <w:tc>
          <w:tcPr>
            <w:tcW w:w="26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200 shares underlying unvested restricted stock awards granted to the Reporting Person by the Issuer on September 2, 2025, 178 shares underlying unvested restricted stock awards granted to the Reporting Person by the Issuer on December 1, 2025, 397 shares underlying unvested restricted stock awards granted to the Reporting Person by the Issuer on March 2, 2026 and 634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10b5-1 plan adopted by the Reporting Person on December 12, 2025 in effect at the time of this transaction.</w:t>
      </w:r>
    </w:p>
    <w:p>
      <w:pPr>
        <w:spacing w:after="0" w:line="43"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for the entire number of shares sold. The actual sale prices range from $79.40 to $80.39 per share. Information on the exact number of shares sold at each sale price can be obtained from the Issuer upon request.</w:t>
      </w:r>
    </w:p>
    <w:p>
      <w:pPr>
        <w:spacing w:after="0" w:line="17"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for the entire number of shares sold. The actual sale prices range from $80.40 to $81.39 per share. Information on the exact number of shares sold at each sale price can be obtained from the Issuer upon request.</w:t>
      </w:r>
    </w:p>
    <w:p>
      <w:pPr>
        <w:spacing w:after="0" w:line="17"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for the entire number of shares sold. The actual sale prices range from $81.40 to $82.18 per share. Information on the exact number of shares sold at each sale price can be obtained from the Issuer upon request.</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under which this form was signed is on file with the Commission.</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Joseph Douglas Lyon,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1855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Atabak</w:t>
      </w:r>
      <w:r>
        <w:rPr>
          <w:sz w:val="20"/>
          <w:szCs w:val="20"/>
          <w:color w:val="auto"/>
        </w:rPr>
        <w:tab/>
      </w:r>
      <w:r>
        <w:rPr>
          <w:rFonts w:ascii="Times New Roman" w:cs="Times New Roman" w:eastAsia="Times New Roman" w:hAnsi="Times New Roman"/>
          <w:sz w:val="16"/>
          <w:szCs w:val="16"/>
          <w:color w:val="0000FF"/>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Mokari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13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305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ectPr>
          <w:pgSz w:w="11900" w:h="16879"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78419" TargetMode="External"/><Relationship Id="rId14" Type="http://schemas.openxmlformats.org/officeDocument/2006/relationships/hyperlink" Target="http://www.sec.gov/cgi-bin/browse-edgar?action=getcompany&amp;CIK=0001088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2026-06-17T15:31:46Z</dcterms:created>
  <dcterms:modified xsi:type="dcterms:W3CDTF">2026-06-17T15:31:46Z</dcterms:modified>
</cp:coreProperties>
</file>