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Lyon Joseph Douglas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w:t>
            </w:r>
            <w:r>
              <w:rPr>
                <w:rFonts w:ascii="Times;serif" w:hAnsi="Times;serif"/>
                <w:color w:val="008000"/>
                <w:position w:val="7"/>
                <w:sz w:val="16"/>
                <w:sz w:val="20"/>
                <w:shd w:fill="FFFFFF" w:val="clear"/>
              </w:rPr>
              <w:t>(1)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113.38</w:t>
            </w:r>
            <w:r>
              <w:rPr>
                <w:rFonts w:ascii="Times;serif" w:hAnsi="Times;serif"/>
                <w:color w:val="008000"/>
                <w:position w:val="7"/>
                <w:sz w:val="16"/>
                <w:sz w:val="20"/>
                <w:shd w:fill="FFFFFF" w:val="clear"/>
              </w:rPr>
              <w:t>(2)</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5,625</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w:t>
            </w:r>
            <w:r>
              <w:rPr>
                <w:rFonts w:ascii="Times;serif" w:hAnsi="Times;serif"/>
                <w:color w:val="008000"/>
                <w:position w:val="7"/>
                <w:sz w:val="16"/>
                <w:sz w:val="20"/>
                <w:shd w:fill="FFFFFF" w:val="clear"/>
              </w:rPr>
              <w:t>(4)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5,755</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(5)</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113.38</w:t>
            </w:r>
            <w:r>
              <w:rPr>
                <w:rFonts w:ascii="Times;serif" w:hAnsi="Times;serif"/>
                <w:color w:val="008000"/>
                <w:position w:val="7"/>
                <w:sz w:val="16"/>
                <w:sz w:val="20"/>
                <w:shd w:fill="FFFFFF" w:val="clear"/>
              </w:rPr>
              <w:t>(6)</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5,683</w:t>
            </w:r>
            <w:r>
              <w:rPr>
                <w:rFonts w:ascii="Times;serif" w:hAnsi="Times;serif"/>
                <w:color w:val="008000"/>
                <w:position w:val="7"/>
                <w:sz w:val="16"/>
                <w:sz w:val="20"/>
                <w:shd w:fill="FFFFFF" w:val="clear"/>
              </w:rPr>
              <w:t>(7)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purchased shares ("Purchase Plan Shares") of the Issuer's common stock pursuant to a purchase plan ("Purchase Plan") established under the Corcept Therapeutics Incorporated 2024 Incentive Award Plan on September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Purchase Plan, the price was established based on the closing price on the day of the purchase.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200 shares underlying unvested restricted stock awards granted to the Reporting Person by the Issuer on September 2, 2025, 178 shares underlying unvested restricted stock awards granted to the Reporting Person by the Issuer on December 1, 2025, 398 shares underlying unvested restricted stock awards granted to the Reporting Person by the Issuer on March 2, 2026 and 537 shares underlying unvested restricted stock awards granted to the Reporting Person by the Issuer on June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underlie unvested restricted stock awards granted to the Reporting Person by the Issuer under the Purchase Plan. 100% of the shares underlying the restricted stock awards will vest on the one-year anniversary of the grant date provided the Reporting Person remains the beneficial owner of the Purchase Plan Shares through such one-year anniversary.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were withheld by the Issuer in order to satisfy certain tax withholding obligations in connection with the issuance of shares upon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closing price on September 1, 2026 was used to calculate the withholding obligation.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178 shares underlying unvested restricted stock awards granted to the Reporting Person by the Issuer on December 1, 2025, 398 shares underlying unvested restricted stock awards granted to the Reporting Person by the Issuer on March 2, 2026 and 537 shares underlying unvested restricted stock awards granted to the Reporting Person by the Issuer on June 1, 2026. 100% of the shares underlying the restricted stock awards will vest on the one-year anniversary of the grant date provided the Reporting Person satisfies certain requirements.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Accounting &amp; Technology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7838"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939</Words>
  <Characters>5113</Characters>
  <CharactersWithSpaces>5960</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