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9,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333-112676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i w:val="1"/>
          <w:i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CORCEPT THERAPEUTICS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Corporation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60325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2"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760" w:type="dxa"/>
            <w:vAlign w:val="bottom"/>
          </w:tcPr>
          <w:p>
            <w:pPr>
              <w:jc w:val="center"/>
              <w:ind w:left="46"/>
              <w:spacing w:after="0"/>
              <w:rPr>
                <w:sz w:val="20"/>
                <w:szCs w:val="20"/>
                <w:color w:val="auto"/>
              </w:rPr>
            </w:pPr>
            <w:r>
              <w:rPr>
                <w:rFonts w:ascii="Arial" w:cs="Arial" w:eastAsia="Arial" w:hAnsi="Arial"/>
                <w:sz w:val="18"/>
                <w:szCs w:val="18"/>
                <w:b w:val="1"/>
                <w:bCs w:val="1"/>
                <w:color w:val="auto"/>
                <w:w w:val="89"/>
              </w:rPr>
              <w:t>2834</w:t>
            </w:r>
          </w:p>
        </w:tc>
        <w:tc>
          <w:tcPr>
            <w:tcW w:w="3040" w:type="dxa"/>
            <w:vAlign w:val="bottom"/>
          </w:tcPr>
          <w:p>
            <w:pPr>
              <w:jc w:val="right"/>
              <w:ind w:right="542"/>
              <w:spacing w:after="0"/>
              <w:rPr>
                <w:sz w:val="20"/>
                <w:szCs w:val="20"/>
                <w:color w:val="auto"/>
              </w:rPr>
            </w:pPr>
            <w:r>
              <w:rPr>
                <w:rFonts w:ascii="Arial" w:cs="Arial" w:eastAsia="Arial" w:hAnsi="Arial"/>
                <w:sz w:val="18"/>
                <w:szCs w:val="18"/>
                <w:b w:val="1"/>
                <w:bCs w:val="1"/>
                <w:color w:val="auto"/>
              </w:rPr>
              <w:t>77-0487658</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76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304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760" w:type="dxa"/>
            <w:vAlign w:val="bottom"/>
          </w:tcPr>
          <w:p>
            <w:pPr>
              <w:jc w:val="center"/>
              <w:ind w:left="46"/>
              <w:spacing w:after="0"/>
              <w:rPr>
                <w:sz w:val="20"/>
                <w:szCs w:val="20"/>
                <w:color w:val="auto"/>
              </w:rPr>
            </w:pPr>
            <w:r>
              <w:rPr>
                <w:rFonts w:ascii="Arial" w:cs="Arial" w:eastAsia="Arial" w:hAnsi="Arial"/>
                <w:sz w:val="14"/>
                <w:szCs w:val="14"/>
                <w:b w:val="1"/>
                <w:bCs w:val="1"/>
                <w:color w:val="auto"/>
                <w:w w:val="87"/>
              </w:rPr>
              <w:t>Classification Code Number)</w:t>
            </w:r>
          </w:p>
        </w:tc>
        <w:tc>
          <w:tcPr>
            <w:tcW w:w="3040" w:type="dxa"/>
            <w:vAlign w:val="bottom"/>
          </w:tcPr>
          <w:p>
            <w:pPr>
              <w:spacing w:after="0"/>
              <w:rPr>
                <w:sz w:val="15"/>
                <w:szCs w:val="15"/>
                <w:color w:val="auto"/>
              </w:rPr>
            </w:pP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275 Middlefield Road, Suite 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327-3270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62230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K. Belanoff, M.D.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275 Middlefield Road, Suite 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327-3270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62230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91"/>
              </w:rPr>
              <w:t>Sarah A. O’Dowd</w:t>
            </w:r>
          </w:p>
        </w:tc>
        <w:tc>
          <w:tcPr>
            <w:tcW w:w="5780" w:type="dxa"/>
            <w:vAlign w:val="bottom"/>
          </w:tcPr>
          <w:p>
            <w:pPr>
              <w:jc w:val="center"/>
              <w:ind w:left="312"/>
              <w:spacing w:after="0"/>
              <w:rPr>
                <w:sz w:val="20"/>
                <w:szCs w:val="20"/>
                <w:color w:val="auto"/>
              </w:rPr>
            </w:pPr>
            <w:r>
              <w:rPr>
                <w:rFonts w:ascii="Arial" w:cs="Arial" w:eastAsia="Arial" w:hAnsi="Arial"/>
                <w:sz w:val="18"/>
                <w:szCs w:val="18"/>
                <w:b w:val="1"/>
                <w:bCs w:val="1"/>
                <w:color w:val="auto"/>
                <w:w w:val="89"/>
              </w:rPr>
              <w:t>Patrick T. Seaver</w:t>
            </w:r>
          </w:p>
        </w:tc>
      </w:tr>
      <w:tr>
        <w:trPr>
          <w:trHeight w:val="216"/>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88"/>
              </w:rPr>
              <w:t>Kyle Guse</w:t>
            </w:r>
          </w:p>
        </w:tc>
        <w:tc>
          <w:tcPr>
            <w:tcW w:w="5780" w:type="dxa"/>
            <w:vAlign w:val="bottom"/>
          </w:tcPr>
          <w:p>
            <w:pPr>
              <w:jc w:val="center"/>
              <w:ind w:left="312"/>
              <w:spacing w:after="0"/>
              <w:rPr>
                <w:sz w:val="20"/>
                <w:szCs w:val="20"/>
                <w:color w:val="auto"/>
              </w:rPr>
            </w:pPr>
            <w:r>
              <w:rPr>
                <w:rFonts w:ascii="Arial" w:cs="Arial" w:eastAsia="Arial" w:hAnsi="Arial"/>
                <w:sz w:val="18"/>
                <w:szCs w:val="18"/>
                <w:b w:val="1"/>
                <w:bCs w:val="1"/>
                <w:color w:val="auto"/>
                <w:w w:val="86"/>
              </w:rPr>
              <w:t>B. Shayne Kennedy</w:t>
            </w:r>
          </w:p>
        </w:tc>
      </w:tr>
      <w:tr>
        <w:trPr>
          <w:trHeight w:val="216"/>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94"/>
              </w:rPr>
              <w:t>Heller Ehrman White &amp; McAuliffe LLP</w:t>
            </w:r>
          </w:p>
        </w:tc>
        <w:tc>
          <w:tcPr>
            <w:tcW w:w="5780" w:type="dxa"/>
            <w:vAlign w:val="bottom"/>
          </w:tcPr>
          <w:p>
            <w:pPr>
              <w:jc w:val="center"/>
              <w:ind w:left="292"/>
              <w:spacing w:after="0"/>
              <w:rPr>
                <w:sz w:val="20"/>
                <w:szCs w:val="20"/>
                <w:color w:val="auto"/>
              </w:rPr>
            </w:pPr>
            <w:r>
              <w:rPr>
                <w:rFonts w:ascii="Arial" w:cs="Arial" w:eastAsia="Arial" w:hAnsi="Arial"/>
                <w:sz w:val="18"/>
                <w:szCs w:val="18"/>
                <w:b w:val="1"/>
                <w:bCs w:val="1"/>
                <w:color w:val="auto"/>
                <w:w w:val="94"/>
              </w:rPr>
              <w:t>Latham &amp; Watkins LLP</w:t>
            </w:r>
          </w:p>
        </w:tc>
      </w:tr>
      <w:tr>
        <w:trPr>
          <w:trHeight w:val="216"/>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90"/>
              </w:rPr>
              <w:t>275 Middlefield Road</w:t>
            </w:r>
          </w:p>
        </w:tc>
        <w:tc>
          <w:tcPr>
            <w:tcW w:w="5780" w:type="dxa"/>
            <w:vAlign w:val="bottom"/>
          </w:tcPr>
          <w:p>
            <w:pPr>
              <w:jc w:val="center"/>
              <w:ind w:left="312"/>
              <w:spacing w:after="0"/>
              <w:rPr>
                <w:sz w:val="20"/>
                <w:szCs w:val="20"/>
                <w:color w:val="auto"/>
              </w:rPr>
            </w:pPr>
            <w:r>
              <w:rPr>
                <w:rFonts w:ascii="Arial" w:cs="Arial" w:eastAsia="Arial" w:hAnsi="Arial"/>
                <w:sz w:val="18"/>
                <w:szCs w:val="18"/>
                <w:b w:val="1"/>
                <w:bCs w:val="1"/>
                <w:color w:val="auto"/>
                <w:w w:val="89"/>
              </w:rPr>
              <w:t>650 Town Center Drive</w:t>
            </w:r>
          </w:p>
        </w:tc>
      </w:tr>
      <w:tr>
        <w:trPr>
          <w:trHeight w:val="216"/>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90"/>
              </w:rPr>
              <w:t>Menlo Park, California 94025</w:t>
            </w:r>
          </w:p>
        </w:tc>
        <w:tc>
          <w:tcPr>
            <w:tcW w:w="5780" w:type="dxa"/>
            <w:vAlign w:val="bottom"/>
          </w:tcPr>
          <w:p>
            <w:pPr>
              <w:jc w:val="center"/>
              <w:ind w:left="312"/>
              <w:spacing w:after="0"/>
              <w:rPr>
                <w:sz w:val="20"/>
                <w:szCs w:val="20"/>
                <w:color w:val="auto"/>
              </w:rPr>
            </w:pPr>
            <w:r>
              <w:rPr>
                <w:rFonts w:ascii="Arial" w:cs="Arial" w:eastAsia="Arial" w:hAnsi="Arial"/>
                <w:sz w:val="18"/>
                <w:szCs w:val="18"/>
                <w:b w:val="1"/>
                <w:bCs w:val="1"/>
                <w:color w:val="auto"/>
                <w:w w:val="89"/>
              </w:rPr>
              <w:t>Costa Mesa, California 92626</w:t>
            </w:r>
          </w:p>
        </w:tc>
      </w:tr>
      <w:tr>
        <w:trPr>
          <w:trHeight w:val="216"/>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88"/>
              </w:rPr>
              <w:t>Telephone: (650) 324-7000</w:t>
            </w:r>
          </w:p>
        </w:tc>
        <w:tc>
          <w:tcPr>
            <w:tcW w:w="578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Telephone: (714) 540-1235</w:t>
            </w:r>
          </w:p>
        </w:tc>
      </w:tr>
      <w:tr>
        <w:trPr>
          <w:trHeight w:val="228"/>
        </w:trPr>
        <w:tc>
          <w:tcPr>
            <w:tcW w:w="5140" w:type="dxa"/>
            <w:vAlign w:val="bottom"/>
          </w:tcPr>
          <w:p>
            <w:pPr>
              <w:jc w:val="center"/>
              <w:ind w:right="352"/>
              <w:spacing w:after="0"/>
              <w:rPr>
                <w:sz w:val="20"/>
                <w:szCs w:val="20"/>
                <w:color w:val="auto"/>
              </w:rPr>
            </w:pPr>
            <w:r>
              <w:rPr>
                <w:rFonts w:ascii="Arial" w:cs="Arial" w:eastAsia="Arial" w:hAnsi="Arial"/>
                <w:sz w:val="18"/>
                <w:szCs w:val="18"/>
                <w:b w:val="1"/>
                <w:bCs w:val="1"/>
                <w:color w:val="auto"/>
                <w:w w:val="87"/>
              </w:rPr>
              <w:t>Facsimile: (650) 324-0638</w:t>
            </w:r>
          </w:p>
        </w:tc>
        <w:tc>
          <w:tcPr>
            <w:tcW w:w="5780" w:type="dxa"/>
            <w:vAlign w:val="bottom"/>
          </w:tcPr>
          <w:p>
            <w:pPr>
              <w:jc w:val="center"/>
              <w:ind w:left="292"/>
              <w:spacing w:after="0"/>
              <w:rPr>
                <w:sz w:val="20"/>
                <w:szCs w:val="20"/>
                <w:color w:val="auto"/>
              </w:rPr>
            </w:pPr>
            <w:r>
              <w:rPr>
                <w:rFonts w:ascii="Arial" w:cs="Arial" w:eastAsia="Arial" w:hAnsi="Arial"/>
                <w:sz w:val="18"/>
                <w:szCs w:val="18"/>
                <w:b w:val="1"/>
                <w:bCs w:val="1"/>
                <w:color w:val="auto"/>
                <w:w w:val="88"/>
              </w:rPr>
              <w:t>Facsimile: (714) 755-8290</w:t>
            </w:r>
          </w:p>
        </w:tc>
      </w:tr>
      <w:tr>
        <w:trPr>
          <w:trHeight w:val="297"/>
        </w:trPr>
        <w:tc>
          <w:tcPr>
            <w:tcW w:w="5140" w:type="dxa"/>
            <w:vAlign w:val="bottom"/>
          </w:tcPr>
          <w:p>
            <w:pPr>
              <w:spacing w:after="0"/>
              <w:rPr>
                <w:sz w:val="20"/>
                <w:szCs w:val="20"/>
                <w:color w:val="auto"/>
              </w:rPr>
            </w:pPr>
            <w:r>
              <w:rPr>
                <w:rFonts w:ascii="Arial" w:cs="Arial" w:eastAsia="Arial" w:hAnsi="Arial"/>
                <w:sz w:val="18"/>
                <w:szCs w:val="18"/>
                <w:b w:val="1"/>
                <w:bCs w:val="1"/>
                <w:color w:val="auto"/>
                <w:w w:val="87"/>
              </w:rPr>
              <w:t>Approximate date of commencement of proposed sale to the public:</w:t>
            </w:r>
          </w:p>
        </w:tc>
        <w:tc>
          <w:tcPr>
            <w:tcW w:w="5780" w:type="dxa"/>
            <w:vAlign w:val="bottom"/>
          </w:tcPr>
          <w:p>
            <w:pPr>
              <w:ind w:left="80"/>
              <w:spacing w:after="0"/>
              <w:rPr>
                <w:sz w:val="20"/>
                <w:szCs w:val="20"/>
                <w:color w:val="auto"/>
              </w:rPr>
            </w:pPr>
            <w:r>
              <w:rPr>
                <w:rFonts w:ascii="Arial" w:cs="Arial" w:eastAsia="Arial" w:hAnsi="Arial"/>
                <w:sz w:val="18"/>
                <w:szCs w:val="18"/>
                <w:color w:val="auto"/>
                <w:w w:val="88"/>
              </w:rPr>
              <w:t>As soon as practicable following the effectiveness of this Registration Statement.</w:t>
            </w:r>
          </w:p>
        </w:tc>
      </w:tr>
    </w:tbl>
    <w:p>
      <w:pPr>
        <w:spacing w:after="0" w:line="61"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of 1933, please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2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2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100330</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5" w:lineRule="exact"/>
        <w:rPr>
          <w:sz w:val="24"/>
          <w:szCs w:val="24"/>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0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PRELIMINARY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APRIL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198120</wp:posOffset>
            </wp:positionV>
            <wp:extent cx="1989455" cy="1157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945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 Shares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Corcept Therapeutics Incorporated is selling 5,000,000 shares of our common stock. The underwriters have a 30-day option to purchase up to an additional 750,000 shares from us, the selling stockholder, or both, to cover over-allotments, if any. We will not receive any proceeds from the sale of any shares sold by the selling stockholder.</w:t>
      </w:r>
    </w:p>
    <w:p>
      <w:pPr>
        <w:spacing w:after="0" w:line="14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This is an initial public offering of our common stock. We currently expect the initial public offering price to be between $15.00 and $17.00 per share. We have applied for approval for quotation of our common stock on the Nasdaq National Market under the symbol “CORT”.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20" w:type="dxa"/>
            <w:vAlign w:val="bottom"/>
          </w:tcPr>
          <w:p>
            <w:pPr>
              <w:spacing w:after="0"/>
              <w:rPr>
                <w:sz w:val="19"/>
                <w:szCs w:val="19"/>
                <w:color w:val="auto"/>
              </w:rPr>
            </w:pPr>
          </w:p>
        </w:tc>
        <w:tc>
          <w:tcPr>
            <w:tcW w:w="4460" w:type="dxa"/>
            <w:vAlign w:val="bottom"/>
          </w:tcPr>
          <w:p>
            <w:pPr>
              <w:ind w:left="3320"/>
              <w:spacing w:after="0"/>
              <w:rPr>
                <w:sz w:val="20"/>
                <w:szCs w:val="20"/>
                <w:color w:val="auto"/>
              </w:rPr>
            </w:pPr>
            <w:r>
              <w:rPr>
                <w:rFonts w:ascii="Arial" w:cs="Arial" w:eastAsia="Arial" w:hAnsi="Arial"/>
                <w:sz w:val="18"/>
                <w:szCs w:val="18"/>
                <w:b w:val="1"/>
                <w:bCs w:val="1"/>
                <w:color w:val="auto"/>
              </w:rPr>
              <w:t>Per Share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4460" w:type="dxa"/>
            <w:vAlign w:val="bottom"/>
          </w:tcPr>
          <w:p>
            <w:pPr>
              <w:ind w:left="33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4460" w:type="dxa"/>
            <w:vAlign w:val="bottom"/>
          </w:tcPr>
          <w:p>
            <w:pPr>
              <w:ind w:left="33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r>
      <w:tr>
        <w:trPr>
          <w:trHeight w:val="211"/>
        </w:trPr>
        <w:tc>
          <w:tcPr>
            <w:tcW w:w="59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4460" w:type="dxa"/>
            <w:vAlign w:val="bottom"/>
          </w:tcPr>
          <w:p>
            <w:pPr>
              <w:ind w:left="3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2"/>
              <w:spacing w:after="0"/>
              <w:rPr>
                <w:sz w:val="20"/>
                <w:szCs w:val="20"/>
                <w:color w:val="auto"/>
              </w:rPr>
            </w:pPr>
            <w:r>
              <w:rPr>
                <w:rFonts w:ascii="Arial" w:cs="Arial" w:eastAsia="Arial" w:hAnsi="Arial"/>
                <w:sz w:val="18"/>
                <w:szCs w:val="18"/>
                <w:color w:val="auto"/>
              </w:rPr>
              <w:t>$</w:t>
            </w:r>
          </w:p>
        </w:tc>
      </w:tr>
    </w:tbl>
    <w:p>
      <w:pPr>
        <w:spacing w:after="0" w:line="1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Thomas Weisel Partners LLC</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32"/>
          <w:szCs w:val="32"/>
          <w:b w:val="1"/>
          <w:bCs w:val="1"/>
          <w:color w:val="auto"/>
        </w:rPr>
        <w:t>Legg Mason Wood Walker</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Piper Jaffray</w:t>
      </w:r>
    </w:p>
    <w:p>
      <w:pPr>
        <w:spacing w:after="0" w:line="439" w:lineRule="exact"/>
        <w:rPr>
          <w:sz w:val="20"/>
          <w:szCs w:val="20"/>
          <w:color w:val="auto"/>
        </w:rPr>
      </w:pPr>
    </w:p>
    <w:p>
      <w:pPr>
        <w:sectPr>
          <w:pgSz w:w="11900" w:h="16838" w:orient="portrait"/>
          <w:cols w:equalWidth="0" w:num="2">
            <w:col w:w="8740" w:space="720"/>
            <w:col w:w="1960"/>
          </w:cols>
          <w:pgMar w:left="240" w:top="459" w:right="23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Incorporated</w:t>
      </w:r>
    </w:p>
    <w:p>
      <w:pPr>
        <w:sectPr>
          <w:pgSz w:w="11900" w:h="16838" w:orient="portrait"/>
          <w:cols w:equalWidth="0" w:num="1">
            <w:col w:w="11420"/>
          </w:cols>
          <w:pgMar w:left="240" w:top="459" w:right="23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 2004</w:t>
      </w:r>
    </w:p>
    <w:p>
      <w:pPr>
        <w:sectPr>
          <w:pgSz w:w="11900" w:h="16838" w:orient="portrait"/>
          <w:cols w:equalWidth="0" w:num="2">
            <w:col w:w="2300" w:space="640"/>
            <w:col w:w="848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4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50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96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2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Special Note Regarding Forward-Looking Statements</w:t>
              </w:r>
            </w:hyperlink>
          </w:p>
        </w:tc>
        <w:tc>
          <w:tcPr>
            <w:tcW w:w="73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140" w:type="dxa"/>
            <w:vAlign w:val="bottom"/>
            <w:gridSpan w:val="2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Dividend Policy</w:t>
              </w:r>
            </w:hyperlink>
          </w:p>
        </w:tc>
        <w:tc>
          <w:tcPr>
            <w:tcW w:w="99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Capitalization</w:t>
              </w:r>
            </w:hyperlink>
          </w:p>
        </w:tc>
        <w:tc>
          <w:tcPr>
            <w:tcW w:w="10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Dilution</w:t>
              </w:r>
            </w:hyperlink>
          </w:p>
        </w:tc>
        <w:tc>
          <w:tcPr>
            <w:tcW w:w="105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Selected Financial Data</w:t>
              </w:r>
            </w:hyperlink>
          </w:p>
        </w:tc>
        <w:tc>
          <w:tcPr>
            <w:tcW w:w="94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140" w:type="dxa"/>
            <w:vAlign w:val="bottom"/>
            <w:gridSpan w:val="2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Business</w:t>
              </w:r>
            </w:hyperlink>
          </w:p>
        </w:tc>
        <w:tc>
          <w:tcPr>
            <w:tcW w:w="5660" w:type="dxa"/>
            <w:vAlign w:val="bottom"/>
            <w:tcBorders>
              <w:top w:val="single" w:sz="8" w:color="0000EE"/>
            </w:tcBorders>
            <w:gridSpan w:val="19"/>
          </w:tcPr>
          <w:p>
            <w:pPr>
              <w:spacing w:after="0"/>
              <w:rPr>
                <w:sz w:val="17"/>
                <w:szCs w:val="17"/>
                <w:color w:val="auto"/>
              </w:rPr>
            </w:pPr>
          </w:p>
        </w:tc>
        <w:tc>
          <w:tcPr>
            <w:tcW w:w="48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114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Related Party Transactions</w:t>
              </w:r>
            </w:hyperlink>
          </w:p>
        </w:tc>
        <w:tc>
          <w:tcPr>
            <w:tcW w:w="92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140" w:type="dxa"/>
            <w:vAlign w:val="bottom"/>
            <w:gridSpan w:val="2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Principal and Selling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Description of Capital Stock</w:t>
              </w:r>
            </w:hyperlink>
          </w:p>
        </w:tc>
        <w:tc>
          <w:tcPr>
            <w:tcW w:w="420" w:type="dxa"/>
            <w:vAlign w:val="bottom"/>
            <w:tcBorders>
              <w:top w:val="single" w:sz="8" w:color="0000EE"/>
            </w:tcBorders>
            <w:gridSpan w:val="3"/>
          </w:tcPr>
          <w:p>
            <w:pPr>
              <w:spacing w:after="0"/>
              <w:rPr>
                <w:sz w:val="17"/>
                <w:szCs w:val="17"/>
                <w:color w:val="auto"/>
              </w:rPr>
            </w:pPr>
          </w:p>
        </w:tc>
        <w:tc>
          <w:tcPr>
            <w:tcW w:w="87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Shares Eligible for Future Sale</w:t>
              </w:r>
            </w:hyperlink>
          </w:p>
        </w:tc>
        <w:tc>
          <w:tcPr>
            <w:tcW w:w="89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Underwriting</w:t>
              </w:r>
            </w:hyperlink>
          </w:p>
        </w:tc>
        <w:tc>
          <w:tcPr>
            <w:tcW w:w="101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114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United States Federal Income Tax Consequences to Non-United States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Legal Matters</w:t>
              </w:r>
            </w:hyperlink>
          </w:p>
        </w:tc>
        <w:tc>
          <w:tcPr>
            <w:tcW w:w="55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Experts</w:t>
              </w:r>
            </w:hyperlink>
          </w:p>
        </w:tc>
        <w:tc>
          <w:tcPr>
            <w:tcW w:w="101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540" w:type="dxa"/>
            <w:vAlign w:val="bottom"/>
            <w:shd w:val="clear" w:color="auto" w:fill="0000EE"/>
          </w:tcPr>
          <w:p>
            <w:pPr>
              <w:spacing w:after="0" w:line="20" w:lineRule="exact"/>
              <w:rPr>
                <w:sz w:val="1"/>
                <w:szCs w:val="1"/>
                <w:color w:val="auto"/>
              </w:rPr>
            </w:pPr>
          </w:p>
        </w:tc>
        <w:tc>
          <w:tcPr>
            <w:tcW w:w="1560" w:type="dxa"/>
            <w:vAlign w:val="bottom"/>
            <w:gridSpan w:val="1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Where You Can Find Additional Information</w:t>
              </w:r>
            </w:hyperlink>
          </w:p>
        </w:tc>
        <w:tc>
          <w:tcPr>
            <w:tcW w:w="79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1140" w:type="dxa"/>
            <w:vAlign w:val="bottom"/>
            <w:gridSpan w:val="2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Index to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6"/>
              </w:rPr>
              <w:t>F-1</w:t>
            </w: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2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67" w:lineRule="exact"/>
        <w:rPr>
          <w:sz w:val="20"/>
          <w:szCs w:val="20"/>
          <w:color w:val="auto"/>
        </w:rPr>
      </w:pPr>
    </w:p>
    <w:p>
      <w:pPr>
        <w:jc w:val="both"/>
        <w:ind w:right="200" w:firstLine="456"/>
        <w:spacing w:after="0" w:line="331" w:lineRule="auto"/>
        <w:rPr>
          <w:sz w:val="20"/>
          <w:szCs w:val="20"/>
          <w:color w:val="auto"/>
        </w:rPr>
      </w:pPr>
      <w:r>
        <w:rPr>
          <w:rFonts w:ascii="Arial" w:cs="Arial" w:eastAsia="Arial" w:hAnsi="Arial"/>
          <w:sz w:val="15"/>
          <w:szCs w:val="15"/>
          <w:color w:val="auto"/>
        </w:rPr>
        <w:t>You should rely only on the information contained in this prospectus. We have not, and the underwriters have not, authorized any other person to provide you with different information. This prospectus is not an offer to sell, nor is it seeking an offer to buy, these securities in any state where the offer or sale is not permitted. The information in this prospectus is complete and accurate as of the date on the front cover, but the information may have changed since that date.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“Corcept,” “we,” “us” and “our” refer to Corcept Therapeutics Incorporated.</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items in the following summary are described in more detail later in this prospectus. This summary provides an overview of the key aspects of this offering and does not contain all of the information you should consider. Therefore, you should also read the more detailed information set out in this prospectus, the financial statements and the other information contained in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We are a pharmaceutical company engaged in the development of drugs for the treatment of severe psychiatric and neurological diseases. Our lead product candidate, CORLUX</w:t>
      </w:r>
      <w:r>
        <w:rPr>
          <w:rFonts w:ascii="Arial" w:cs="Arial" w:eastAsia="Arial" w:hAnsi="Arial"/>
          <w:sz w:val="22"/>
          <w:szCs w:val="22"/>
          <w:color w:val="auto"/>
          <w:vertAlign w:val="superscript"/>
        </w:rPr>
        <w:t>™</w:t>
      </w:r>
      <w:r>
        <w:rPr>
          <w:rFonts w:ascii="Arial" w:cs="Arial" w:eastAsia="Arial" w:hAnsi="Arial"/>
          <w:sz w:val="18"/>
          <w:szCs w:val="18"/>
          <w:color w:val="auto"/>
        </w:rPr>
        <w:t>, is currently in Phase III clinical trials and has been granted “fast track” status by the FDA for the treatment of the psychotic features of psychotic major depression, a disorder that affects approximately three million people in the United States each year and for which there are no FDA-approved treatments. We have also initiated a clinical study to evaluate the tolerability and efficacy of CORLUX in improving cognition in patients with mild to moderate Alzheimer’s disease.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Psychotic major depression, or PMD, is a serious psychiatric disorder that is more prevalent than either schizophrenia or manic depressive illness. The disorder is characterized by severe depression accompanied by psychosis. Psychosis is delusional thinking, hallucinations or both. PMD is not a simple combination of psychosis and depression, but rather a complex interaction between a predisposition to become psychotic and a predisposition to become severely depressed. People with PMD are approximately 70 times more likely to commit suicide in their lifetime than the rest of the general population.</w:t>
      </w:r>
    </w:p>
    <w:p>
      <w:pPr>
        <w:spacing w:after="0" w:line="18"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There is no treatment for PMD approved by the FDA. However, there are two treatment approaches currently used by psychiatrists: electroconvulsive therapy, or ECT, and combination drug therapy. Both of these approaches can have debilitating side effects. Even using these approaches, PMD patients often require lengthy and expensive hospital stays. Of the two approaches, ECT is generally considered more effective.</w:t>
      </w:r>
    </w:p>
    <w:p>
      <w:pPr>
        <w:spacing w:after="0" w:line="1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ECT involves passing an electrical current through the brain until the patient has a seizure. ECT requires the use of an operating room as well as the participation of a psychiatrist, an anesthesiologist and a nurse. General anesthesia and paralytic agents are necessary to avoid fractures of the spine that otherwise could result from the seizures caused by ECT. Although ECT can reduce depressive and psychotic symptoms, the procedure can result in cognitive impairment including permanent memory loss, cardiovascular complications, headache, muscle ache and nausea. In addition, complications can arise from general anesthesia. At least 100,000 patients receive ECT each year in the United States, with each patient requiring approximately six to twelve procedures over a period of three to five weeks.</w:t>
      </w:r>
    </w:p>
    <w:p>
      <w:pPr>
        <w:spacing w:after="0" w:line="5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Combination drug therapy involves the simultaneous administration of antidepressant and antipsychotic medications. Combination drug therapy is not as effective as ECT in relieving the symptoms of PMD and often requires three or more weeks before patients show improvement in their condition. In addition, combination drug therapy is associated with significant side effects, including weight gain, diabetes, sedation, permanent movement disorders and sexual dysfunction.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the Treatment of PMD</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CORLUX, also known as mifepristone, works by selectively blocking the binding of cortisol, a steroid hormone, to one of its two known receptors. Elevated levels and abnormal release patterns of cortisol have been implicated in a broad range of human disorders, including PMD. We have an exclusive license to a method of use patent covering the use of CORLUX for the treatment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psychotic features of PMD. By modifying the level and release pattern of cortisol within the human body, we believe that CORLUX will be able to treat the psychotic features of PMD more quickly and effectively and with fewer side effects than is possible with currently available treatments. We have not submitted a New Drug Application, or NDA, to market CORLUX and we have no other commercially available products. We have no revenues and have incurred significant losses in each year of our operations.</w:t>
      </w:r>
    </w:p>
    <w:p>
      <w:pPr>
        <w:spacing w:after="0" w:line="4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January 2001, we completed a dose finding clinical trial evaluating the efficacy, tolerability and dose response of CORLUX for the treatment of the psychotic features of PMD. After one week of treatment, approximately two-thirds of the patients in the two higher dosage groups experienced clinically meaningful reductions in psychosis, as measured by a widely-used psychiatric rating scale, the BPRS. A clinically meaningful reduction in psychosis represents a reduction of symptoms that are readily recognizable by patients and physicians.</w:t>
      </w:r>
    </w:p>
    <w:p>
      <w:pPr>
        <w:spacing w:after="0" w:line="49"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Based on the encouraging results from our dose finding trial, we initiated two clinical trials designed to evaluate the safety and efficacy of CORLUX for the treatment of PMD. The two trials, which we call the ’02 study and ’03 study, were double-blind, placebo-controlled safety and efficacy studies in which a total of 429 patients were enrolled. The ’02 study showed that CORLUX was well tolerated and that there were no discernable problems with drug interactions between CORLUX and commonly prescribed antipsychotic and antidepressant medications. The ’03 study demonstrated with statistical significance (p value =</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0.01) that patients in the CORLUX group were more likely to achieve a rapid and sustained reduction in psychotic symptoms than patients in the control group, as measured by a 30% reduction in the BPRS at 7 days sustained to 28 days. The ’03 study also showed with statistical significance (p value = 0.01) that patients in the CORLUX group were more likely than patients in the placebo group to achieve a 50% reduction in the BPRS positive symptom subscale at day 7 sustained to day 28. The term “p value” is a statistical term that indicates the probability that an observed result is random. A p value of 0.05 or less is considered statistically significant.</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our fourth trial, we evaluated the safety of retreatment in patients with a favorable response to treatment in the ’02 and ’03 studies, and our analysis indicates that patients tolerated their retreatment well. Although the results of the ’03 study were favorable, the FDA will determine, upon our filing of an NDA, whether CORLUX is sufficiently safe and effective to warrant marketing approval.</w:t>
      </w:r>
    </w:p>
    <w:p>
      <w:pPr>
        <w:spacing w:after="0" w:line="4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do not expect that the results of the ’02 and ’03 studies will be sufficient for them to be considered as pivotal clinical trials by the FDA. We plan to initiate two pivotal clinical trials to support an NDA to market CORLUX in the United States. We expect these two pivotal trials to be completed in the first half of 2006. We submitted protocols for our two pivotal clinical studies to the FDA for a special protocol assessment in March 2004. These clinical trials may not, however, ultimately show that CORLUX is safe and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Alzheimer’s Program</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Alzheimer’s disease is the most common form of dementia, accounting for approximately 50% of patients in the United States with progressive cognitive decline. More than 3.5 million people in the United States have Alzheimer’s disease. With the aging of the population, this number continues to grow each year. Published studies have suggested that higher cortisol levels are associated with a more rapid decline in Alzheimer’s patients.</w:t>
      </w:r>
    </w:p>
    <w:p>
      <w:pPr>
        <w:spacing w:after="0" w:line="1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conducting a clinical trial designed to demonstrate whether or not CORLUX will improve cognition in Alzheimer’s patients. This is the first clinical trial conducted by us in Alzheimer’s disease using CORLUX. The primary objective of this study is to assess the efficacy and tolerability of CORLUX in these patients. The study is a randomized, double-blind, parallel group comparison of the effects of CORLUX and placebo.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GR-II Antagonist Platform</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believe that CORLUX exerts its effects by blocking the action of cortisol at one of its two known receptors, known as the GR-II receptor. A receptor is a structure that accepts a chemical messenger and creates a signal for biologic action. We also believe that elevated levels and abnormal release patterns of cortisol are involved in several other psychiatric and neurological diseases. We have assembled a patent portfolio covering the treatment of psychiatric and neurological disorders that may benefit from drugs that block, or antagonize, the GR-II receptor. In addition to PMD, we own or have exclusively licensed issued patents for the use of GR-II antagonists to treat other disorders, including early dementia, mild cognitive impairment, psychosis associated with cocaine addiction and weight gain following treatment with antipsychotic medication. We also have patent applications filed for the use of GR-II antagonists in nine other diseases.</w:t>
      </w:r>
    </w:p>
    <w:p>
      <w:pPr>
        <w:spacing w:after="0" w:line="1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we have discovered, and filed patent applications for, two series of more selective GR-II antagonists that may eventually serve as follow-on compounds to CORLUX. These proprietary compounds bind to the GR-II receptor with a potency similar to that of CORLUX.</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260" w:firstLine="456"/>
        <w:spacing w:after="0" w:line="235" w:lineRule="auto"/>
        <w:rPr>
          <w:sz w:val="20"/>
          <w:szCs w:val="20"/>
          <w:color w:val="auto"/>
        </w:rPr>
      </w:pPr>
      <w:r>
        <w:rPr>
          <w:rFonts w:ascii="Arial" w:cs="Arial" w:eastAsia="Arial" w:hAnsi="Arial"/>
          <w:sz w:val="18"/>
          <w:szCs w:val="18"/>
          <w:color w:val="auto"/>
        </w:rPr>
        <w:t>We were incorporated in the State of Delaware on May 13, 1998. Our trademarks include Corcept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CORLUX. We have applied to register these trademarks with the U.S. Patent and Trademark Office. Other service marks, trademarks and tradenames referred to in this prospectus are the property of their respective owners.</w:t>
      </w:r>
    </w:p>
    <w:p>
      <w:pPr>
        <w:spacing w:after="0" w:line="63"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Our principal executive offices are located at 275 Middlefield Road, Suite A, Menlo Park, California 94025, and our telephone number is (650) 327-3270. 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320"/>
          </w:cols>
          <w:pgMar w:left="240" w:top="459" w:right="3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Common stock offered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4260"/>
        <w:spacing w:after="0"/>
        <w:rPr>
          <w:sz w:val="20"/>
          <w:szCs w:val="20"/>
          <w:color w:val="auto"/>
        </w:rPr>
      </w:pPr>
      <w:r>
        <w:rPr>
          <w:rFonts w:ascii="Arial" w:cs="Arial" w:eastAsia="Arial" w:hAnsi="Arial"/>
          <w:sz w:val="15"/>
          <w:szCs w:val="15"/>
          <w:color w:val="auto"/>
        </w:rPr>
        <w:t>5,000,000 shares</w:t>
      </w:r>
    </w:p>
    <w:p>
      <w:pPr>
        <w:spacing w:after="0" w:line="125" w:lineRule="exact"/>
        <w:rPr>
          <w:sz w:val="20"/>
          <w:szCs w:val="20"/>
          <w:color w:val="auto"/>
        </w:rPr>
      </w:pPr>
    </w:p>
    <w:p>
      <w:pPr>
        <w:sectPr>
          <w:pgSz w:w="11900" w:h="16838" w:orient="portrait"/>
          <w:cols w:equalWidth="0" w:num="2">
            <w:col w:w="5160" w:space="720"/>
            <w:col w:w="5440"/>
          </w:cols>
          <w:pgMar w:left="240" w:top="459"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23,142,128 shares</w:t>
      </w:r>
    </w:p>
    <w:p>
      <w:pPr>
        <w:spacing w:after="0" w:line="124" w:lineRule="exact"/>
        <w:rPr>
          <w:sz w:val="20"/>
          <w:szCs w:val="20"/>
          <w:color w:val="auto"/>
        </w:rPr>
      </w:pPr>
    </w:p>
    <w:p>
      <w:pPr>
        <w:sectPr>
          <w:pgSz w:w="11900" w:h="16838" w:orient="portrait"/>
          <w:cols w:equalWidth="0" w:num="2">
            <w:col w:w="5160" w:space="720"/>
            <w:col w:w="5440"/>
          </w:cols>
          <w:pgMar w:left="240" w:top="459"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5"/>
          <w:szCs w:val="15"/>
          <w:color w:val="auto"/>
        </w:rPr>
        <w:t>750,000 shares</w:t>
      </w:r>
    </w:p>
    <w:p>
      <w:pPr>
        <w:spacing w:after="0" w:line="124" w:lineRule="exact"/>
        <w:rPr>
          <w:sz w:val="20"/>
          <w:szCs w:val="20"/>
          <w:color w:val="auto"/>
        </w:rPr>
      </w:pPr>
    </w:p>
    <w:p>
      <w:pPr>
        <w:sectPr>
          <w:pgSz w:w="11900" w:h="16838" w:orient="portrait"/>
          <w:cols w:equalWidth="0" w:num="2">
            <w:col w:w="5160" w:space="720"/>
            <w:col w:w="5440"/>
          </w:cols>
          <w:pgMar w:left="240" w:top="459"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314" w:lineRule="auto"/>
        <w:rPr>
          <w:sz w:val="20"/>
          <w:szCs w:val="20"/>
          <w:color w:val="auto"/>
        </w:rPr>
      </w:pPr>
      <w:r>
        <w:rPr>
          <w:rFonts w:ascii="Arial" w:cs="Arial" w:eastAsia="Arial" w:hAnsi="Arial"/>
          <w:sz w:val="15"/>
          <w:szCs w:val="15"/>
          <w:color w:val="auto"/>
        </w:rPr>
        <w:t>We intend to use the net proceeds of this offering to fund clinical trials, preclinical testing and other research and development activities; selling, manufacturing and general and administrative expenses; and working capital and other general corporate purposes. We will not receive any proceeds from the shares of common stock sold by the selling stockholder, if any. See the discussion of “Use of Proceeds” for a more detailed description.</w:t>
      </w:r>
    </w:p>
    <w:p>
      <w:pPr>
        <w:spacing w:after="0" w:line="24" w:lineRule="exact"/>
        <w:rPr>
          <w:sz w:val="20"/>
          <w:szCs w:val="20"/>
          <w:color w:val="auto"/>
        </w:rPr>
      </w:pPr>
    </w:p>
    <w:p>
      <w:pPr>
        <w:sectPr>
          <w:pgSz w:w="11900" w:h="16838" w:orient="portrait"/>
          <w:cols w:equalWidth="0" w:num="2">
            <w:col w:w="5160" w:space="720"/>
            <w:col w:w="5440"/>
          </w:cols>
          <w:pgMar w:left="240" w:top="459"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Proposed 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CORT</w:t>
      </w:r>
    </w:p>
    <w:p>
      <w:pPr>
        <w:spacing w:after="0" w:line="113" w:lineRule="exact"/>
        <w:rPr>
          <w:sz w:val="20"/>
          <w:szCs w:val="20"/>
          <w:color w:val="auto"/>
        </w:rPr>
      </w:pPr>
    </w:p>
    <w:p>
      <w:pPr>
        <w:sectPr>
          <w:pgSz w:w="11900" w:h="16838" w:orient="portrait"/>
          <w:cols w:equalWidth="0" w:num="2">
            <w:col w:w="5160" w:space="720"/>
            <w:col w:w="5440"/>
          </w:cols>
          <w:pgMar w:left="240" w:top="459" w:right="3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our common stock outstanding after this offering is based on 18,142,128 shares outstanding on March 31, 2004 and does not take into account:</w:t>
      </w:r>
    </w:p>
    <w:p>
      <w:pPr>
        <w:spacing w:after="0" w:line="3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5"/>
          <w:szCs w:val="15"/>
          <w:color w:val="auto"/>
        </w:rPr>
      </w:pPr>
      <w:r>
        <w:rPr>
          <w:rFonts w:ascii="Arial" w:cs="Arial" w:eastAsia="Arial" w:hAnsi="Arial"/>
          <w:sz w:val="15"/>
          <w:szCs w:val="15"/>
          <w:color w:val="auto"/>
        </w:rPr>
        <w:t>730,500 shares issuable upon exercise of outstanding options to purchase our common stock at a weighted average exercise price of $6.62 per share;</w:t>
      </w:r>
    </w:p>
    <w:p>
      <w:pPr>
        <w:spacing w:after="0" w:line="111" w:lineRule="exact"/>
        <w:rPr>
          <w:rFonts w:ascii="Arial" w:cs="Arial" w:eastAsia="Arial" w:hAnsi="Arial"/>
          <w:sz w:val="15"/>
          <w:szCs w:val="15"/>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3,000,000 shares available for future issuance under our equity incentive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32,730 shares of our common stock issuable upon conversion of a promissory note.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to purchase up to 750,000 shares;</w:t>
      </w:r>
    </w:p>
    <w:p>
      <w:pPr>
        <w:spacing w:after="0" w:line="76"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the conversion of all outstanding shares of our preferred stock into 8,807,146 shares of our common stock upon the completion of this offering;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filing of our amended and restated certificate of incorporation.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59"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Years Ended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3"/>
              </w:rPr>
              <w:t>inception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(May 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5"/>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1998)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1999</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2000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2001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2003</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ind w:right="192"/>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Statements of Operations Data:</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13,150</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577</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2,616</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5,653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1,887</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10,917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18,803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9,995</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39,025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w w:val="90"/>
              </w:rPr>
              <w:t>(1,896)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0"/>
              </w:rPr>
              <w:t>(8,006)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(18,803)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0"/>
              </w:rPr>
              <w:t>(9,995)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Interest and other income, net</w:t>
            </w: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552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w w:val="90"/>
              </w:rPr>
              <w:t>(1,846)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0"/>
              </w:rPr>
              <w:t>(7,454)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(18,504)</w:t>
            </w:r>
          </w:p>
        </w:tc>
        <w:tc>
          <w:tcPr>
            <w:tcW w:w="5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0"/>
              </w:rPr>
              <w:t>(9,813)</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per share: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Basic and 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(0.09)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12"/>
              <w:spacing w:after="0"/>
              <w:rPr>
                <w:sz w:val="20"/>
                <w:szCs w:val="20"/>
                <w:color w:val="auto"/>
              </w:rPr>
            </w:pPr>
            <w:r>
              <w:rPr>
                <w:rFonts w:ascii="Arial" w:cs="Arial" w:eastAsia="Arial" w:hAnsi="Arial"/>
                <w:sz w:val="14"/>
                <w:szCs w:val="14"/>
                <w:color w:val="auto"/>
              </w:rPr>
              <w:t>(0.35)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(1.25)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(2.50)</w:t>
            </w:r>
          </w:p>
        </w:tc>
        <w:tc>
          <w:tcPr>
            <w:tcW w:w="52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rPr>
              <w:t>(1.13)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Weighted average shares—basic and diluted</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3,569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8,650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forma net loss per share: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Basic and diluted</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rPr>
              <w:t>(0.55)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Weighted average shares—basic and diluted</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17,758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Includes non-cash stock-based compensation of the following:</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Research and development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5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1,214</w:t>
            </w:r>
          </w:p>
        </w:tc>
        <w:tc>
          <w:tcPr>
            <w:tcW w:w="5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1,957</w:t>
            </w:r>
          </w:p>
        </w:tc>
        <w:tc>
          <w:tcPr>
            <w:tcW w:w="100" w:type="dxa"/>
            <w:vAlign w:val="bottom"/>
          </w:tcPr>
          <w:p>
            <w:pPr>
              <w:spacing w:after="0"/>
              <w:rPr>
                <w:sz w:val="12"/>
                <w:szCs w:val="12"/>
                <w:color w:val="auto"/>
              </w:rPr>
            </w:pPr>
          </w:p>
        </w:tc>
        <w:tc>
          <w:tcPr>
            <w:tcW w:w="52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w:t>
            </w:r>
          </w:p>
        </w:tc>
        <w:tc>
          <w:tcPr>
            <w:tcW w:w="50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gridSpan w:val="2"/>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9"/>
          </w:tcPr>
          <w:p>
            <w:pPr>
              <w:ind w:left="20"/>
              <w:spacing w:after="0"/>
              <w:rPr>
                <w:sz w:val="20"/>
                <w:szCs w:val="20"/>
                <w:color w:val="auto"/>
              </w:rPr>
            </w:pPr>
            <w:r>
              <w:rPr>
                <w:rFonts w:ascii="Arial" w:cs="Arial" w:eastAsia="Arial" w:hAnsi="Arial"/>
                <w:sz w:val="14"/>
                <w:szCs w:val="14"/>
                <w:b w:val="1"/>
                <w:bCs w:val="1"/>
                <w:color w:val="auto"/>
              </w:rPr>
              <w:t>As of 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w w:val="84"/>
              </w:rPr>
              <w:t>Actual</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Cash, cash equivalents and short-term investments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right"/>
              <w:ind w:right="320"/>
              <w:spacing w:after="0" w:line="149" w:lineRule="exact"/>
              <w:rPr>
                <w:sz w:val="20"/>
                <w:szCs w:val="20"/>
                <w:color w:val="auto"/>
              </w:rPr>
            </w:pPr>
            <w:r>
              <w:rPr>
                <w:rFonts w:ascii="Arial" w:cs="Arial" w:eastAsia="Arial" w:hAnsi="Arial"/>
                <w:sz w:val="14"/>
                <w:szCs w:val="14"/>
                <w:color w:val="auto"/>
                <w:w w:val="95"/>
              </w:rPr>
              <w:t>$  11,577</w:t>
            </w:r>
          </w:p>
        </w:tc>
        <w:tc>
          <w:tcPr>
            <w:tcW w:w="50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84,877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10,729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84,029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right"/>
              <w:ind w:right="320"/>
              <w:spacing w:after="0" w:line="149" w:lineRule="exact"/>
              <w:rPr>
                <w:sz w:val="20"/>
                <w:szCs w:val="20"/>
                <w:color w:val="auto"/>
              </w:rPr>
            </w:pPr>
            <w:r>
              <w:rPr>
                <w:rFonts w:ascii="Arial" w:cs="Arial" w:eastAsia="Arial" w:hAnsi="Arial"/>
                <w:sz w:val="14"/>
                <w:szCs w:val="14"/>
                <w:color w:val="auto"/>
              </w:rPr>
              <w:t>11,781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85,081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right"/>
              <w:ind w:right="320"/>
              <w:spacing w:after="0" w:line="149" w:lineRule="exact"/>
              <w:rPr>
                <w:sz w:val="20"/>
                <w:szCs w:val="20"/>
                <w:color w:val="auto"/>
              </w:rPr>
            </w:pPr>
            <w:r>
              <w:rPr>
                <w:rFonts w:ascii="Arial" w:cs="Arial" w:eastAsia="Arial" w:hAnsi="Arial"/>
                <w:sz w:val="14"/>
                <w:szCs w:val="14"/>
                <w:color w:val="auto"/>
              </w:rPr>
              <w:t>41,716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Deficit accumulated during the development stage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(37,937)</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Total stockholders’ equity (net capital deficiency)</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jc w:val="right"/>
              <w:ind w:right="280"/>
              <w:spacing w:after="0"/>
              <w:rPr>
                <w:sz w:val="20"/>
                <w:szCs w:val="20"/>
                <w:color w:val="auto"/>
              </w:rPr>
            </w:pPr>
            <w:r>
              <w:rPr>
                <w:rFonts w:ascii="Arial" w:cs="Arial" w:eastAsia="Arial" w:hAnsi="Arial"/>
                <w:sz w:val="14"/>
                <w:szCs w:val="14"/>
                <w:color w:val="auto"/>
              </w:rPr>
              <w:t>(31,473)</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83,543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-3575685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-3575685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-3575685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-3575685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-3575685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-3575685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-3575685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-3575685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-3575685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-3575685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-3575685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-3575685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-3575685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-3575685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-3575685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-3575685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-3575685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-3575685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-3223895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-3223895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-3223895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-3223895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-3223895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-3223895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-3223895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-3223895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-3223895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-3223895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-3223895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-3223895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-3223895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-3223895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-3223895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-2966720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-2966720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-2966720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-2966720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-2966720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-2966720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-2966720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-2966720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-2966720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-2966720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-2966720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-2966720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-2966720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-2966720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-2966720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-2546350</wp:posOffset>
            </wp:positionV>
            <wp:extent cx="33845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-2289175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-2289175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-2289175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-1534160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-1534160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-1534160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-1534160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-1534160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-1534160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-1534160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-1534160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-1534160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-1534160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-1534160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-1534160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-1534160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-1534160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-1534160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-1534160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-1534160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-1534160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5" w:lineRule="exact"/>
        <w:rPr>
          <w:sz w:val="20"/>
          <w:szCs w:val="20"/>
          <w:color w:val="auto"/>
        </w:rPr>
      </w:pPr>
    </w:p>
    <w:p>
      <w:pPr>
        <w:ind w:right="360" w:firstLine="456"/>
        <w:spacing w:after="0" w:line="331" w:lineRule="auto"/>
        <w:rPr>
          <w:sz w:val="20"/>
          <w:szCs w:val="20"/>
          <w:color w:val="auto"/>
        </w:rPr>
      </w:pPr>
      <w:r>
        <w:rPr>
          <w:rFonts w:ascii="Arial" w:cs="Arial" w:eastAsia="Arial" w:hAnsi="Arial"/>
          <w:sz w:val="15"/>
          <w:szCs w:val="15"/>
          <w:color w:val="auto"/>
        </w:rPr>
        <w:t>The as adjusted balance sheet data above assumes the issuance of 5,000,000 shares of our common stock in this offering at an assumed initial public offering price of $16.00 per share, after deducting underwriting discounts and commissions and estimated offering expenses payable by us, and the automatic conversion of all of the outstanding shares of our convertible preferred stock into 8,807,146 shares of common stock upon the completion of this offering.</w:t>
      </w:r>
    </w:p>
    <w:p>
      <w:pPr>
        <w:spacing w:after="0" w:line="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our financial statements and related notes for a description of the calculation of the historical and pro forma net loss per common share and weighted-average number of shares used in computing the historical and pro forma per common share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In assessing these risks, you should also refer to the other information contained in this prospectus, including our financial statements and related notes.</w:t>
      </w:r>
    </w:p>
    <w:p>
      <w:pPr>
        <w:spacing w:after="0" w:line="8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Risks Related to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anticipate that we will incur continued losses for the foreseeable future.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with no current source of product revenue. We have a limited history of operations and have focused primarily on clinical trials, and if the outcome of future clinical trials support it, we plan to seek FDA regulatory clearance to market CORLUX for the treatment of the psychotic features of PMD. Historically, we have funded our operations primarily from the sale of our equity securities. We have incurred losses in each year since our inception in 1998. Our net losses in 2001, 2002 and 2003 were approximately $7.5 million, $18.5 million and $9.8 million, respectively. As of December 31, 2003, we had an accumulated deficit of approximately $37.9 million. We do not know when or if we will generate product revenue. We expect our research and development expenses to increase in connection with the planned pivotal clinical trials and other development activities for other product candidates. We expect to incur significant sales and marketing expenses related to our market research activities for CORLUX and our development of a sales and marketing staff. As a result, we expect that our losses will increase for the foreseeable future. We are unable to predict the extent of any future losses or whether or when we will become profitable.</w:t>
      </w:r>
    </w:p>
    <w:p>
      <w:pPr>
        <w:spacing w:after="0" w:line="100"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b w:val="1"/>
          <w:bCs w:val="1"/>
          <w:color w:val="auto"/>
        </w:rPr>
        <w:t>We depend heavily on the success of our lead product candidate, CORLUX, which is still in development. If we are unable to commercialize CORLUX, or experience significant delays in doing so, we may be unable to generate revenues and our stock price may decline.</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have invested a significant portion of our time and financial resources since our inception in the development of CORLUX. We currently do not have any commercial products and we anticipate that for the foreseeable future our ability to generate revenues and achieve profitability will be solely dependent on the successful development, approval and commercialization of CORLUX. We plan to conduct, in the United States, at least two pivotal clinical trials for CORLUX for the treatment of the psychotic features of PMD before submitting an application for FDA approval. While we expect that these trials will be completed before the end of the first half of 2006, we cannot assure you that this will occur. We may decide, or the FDA may require us, to pursue additional clinical trials or other studies on CORLUX. If we are unable to successfully conclude our clinical development program and obtain regulatory approval for CORLUX for the treatment of the psychotic features of PMD, we may be unable to generate revenue and our stock price may decline.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factors could harm our efforts to develop and commercialize CORLUX, including:</w:t>
      </w:r>
    </w:p>
    <w:p>
      <w:pPr>
        <w:spacing w:after="0" w:line="7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inconclusive or otherwise unfavorable results from our clinical development program;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our clinical development program;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technological change making CORLUX obsolete;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costs of our clinical trials;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obtain, or delay in obtaining, regulatory approval for the commercialization of CORLUX for the treatment of the psychotic features of PMD;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manufacture CORLUX or the active ingredient in CORLUX in commercial quantities and at an acceptable cost;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concerns relating to other uses of mifepristone that could limit the market acceptance of CORLUX.</w:t>
      </w:r>
    </w:p>
    <w:p>
      <w:pPr>
        <w:spacing w:after="0" w:line="152" w:lineRule="exact"/>
        <w:rPr>
          <w:sz w:val="20"/>
          <w:szCs w:val="20"/>
          <w:color w:val="auto"/>
        </w:rPr>
      </w:pPr>
    </w:p>
    <w:p>
      <w:pPr>
        <w:jc w:val="both"/>
        <w:ind w:right="80"/>
        <w:spacing w:after="0" w:line="329" w:lineRule="auto"/>
        <w:rPr>
          <w:sz w:val="20"/>
          <w:szCs w:val="20"/>
          <w:color w:val="auto"/>
        </w:rPr>
      </w:pPr>
      <w:r>
        <w:rPr>
          <w:rFonts w:ascii="Arial" w:cs="Arial" w:eastAsia="Arial" w:hAnsi="Arial"/>
          <w:sz w:val="16"/>
          <w:szCs w:val="16"/>
          <w:b w:val="1"/>
          <w:bCs w:val="1"/>
          <w:color w:val="auto"/>
        </w:rPr>
        <w:t>Our clinical trials may not demonstrate that CORLUX is safe and effective. If our clinical trials of CORLUX for the treatment of the psychotic features of PMD do not demonstrate safety and efficacy, or if the clinical trials are delayed or terminated, our business will be harmed.</w:t>
      </w:r>
    </w:p>
    <w:p>
      <w:pPr>
        <w:spacing w:after="0" w:line="1"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To gain regulatory approval from the FDA to market CORLUX, our planned pivotal clinical trials must demonstrate the safety and efficacy of CORLUX for the treatment of the psychotic features of PMD. Clinical development is a long, expensive and uncertain process and is subject to delays. Favorable results of preclinical studies and initial clinical trials of CORLUX are not necessarily indicative of the results we will obtain in later clinical trials. While we have obtained favorable results in some of our clinical trials, these results have not been sufficient to support an application for FDA approval. Our future clinical trials may not demonstrate that CORLUX is effective.</w:t>
      </w:r>
    </w:p>
    <w:p>
      <w:pPr>
        <w:spacing w:after="0" w:line="4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addition, data obtained from pivotal clinical trials are susceptible to varying interpretations, which could delay, limit or prevent regulatory approval. To obtain marketing approval, we may decide, or the FDA or other regulatory authorities may require us, to pursue additional pivotal clinical or other studies. These trials could significantly delay the approval and commercialization of CORLUX and would require us to commit significant additional financial resources. Even after we conduct these additional clinical trials, we may not receive regulatory approval to market CORLUX.</w:t>
      </w:r>
    </w:p>
    <w:p>
      <w:pPr>
        <w:spacing w:after="0" w:line="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intend to submit the protocol for our first pivotal clinical trial to the FDA for a special protocol assessment, or SPA, pursuant to which the FDA will assess whether the protocol is adequate to meet the scientific and regulatory requirements necessary to support marketing approval of CORLUX for the treatment of the psychotic features of PMD. In connection with the assessment, we may decide, or the FDA may require us, to modify the protocol by, for example, changing the proposed primary endpoint, the size of the study or otherwise, which may result in a delay in the completion of our clinical trials.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other factors could delay or result in termination of our clinical trials, including:</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or inconclusive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slow patient enrollment or patient noncompliance with the protocol;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medical events or side effects among patients during the clinical trials;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inspections of our clinical operations;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or perceived lack of effectiveness or safety of CORLUX.</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our pivotal trials, we plan to conduct carcinogenicity studies and toxicology tests in support of our planned NDA to market CORLUX for the treatment of the psychotic features of PMD. We cannot assure you that these studies and tests will produce results that support our planned NDA, or these studies and tests may delay commercialization of CORLUX.</w:t>
      </w:r>
    </w:p>
    <w:p>
      <w:pPr>
        <w:spacing w:after="0" w:line="12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depend on clinical investigators and clinical sites to enroll patients in our clinical trials and other third parties to manage the trials and to perform related data collection and analysis, and, as a result, we may face costs and delays outside of our control.</w:t>
      </w:r>
    </w:p>
    <w:p>
      <w:pPr>
        <w:spacing w:after="0" w:line="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plan to enroll an aggregate of approximately 500 patients in two randomized, double-blind, placebo-controlled trials to further assess the safety and efficacy of CORLUX for the treatment of the psychotic features of PMD. If successful, we expect to use these trials as pivotal clinical trials in support of an NDA to market CORLUX in the United States. We rely on clinical investigators and clinical sites to enroll these patients and other third parties to manage the trial and to perform related data collection and analysis. However, we may not be able to control the amount and timing of resources that the clinical sites that conduct the clinical testing may devote to our pivotal clinical trials. If these clinical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investigators and clinical sites fail to enroll a sufficient number of patients in our pivotal clinical trials, we will be unable to complete these trials, which could prevent us from obtaining regulatory approvals for CORLUX.</w:t>
      </w:r>
    </w:p>
    <w:p>
      <w:pPr>
        <w:spacing w:after="0" w:line="3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contracted with Scirex Corporation and PPD Development, LP, or PPD, to perform investigator supervision, data collection and analysis in our pivotal clinical trials. In addition, we have identified over 30 clinical sites for our pivotal clinical trials and are in the process of qualifying those sites and negotiating contracts with them to conduct clinical testing. We may not be able to maintain these relationships with Scirex and PPD or to establish relationships with qualified clinical sites without undue delays or excessive expenditures. Any delay in contracting with qualified clinical sites to conduct our clinical testing may delay the completion of our pivotal clinical trials or the commercialization of CORLUX.</w:t>
      </w:r>
    </w:p>
    <w:p>
      <w:pPr>
        <w:spacing w:after="0" w:line="10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agreements with clinical investigators and clinical sites for clinical testing and with Scirex and PPD for trial management services place substantial responsibilities on these parties, which could result in delays in, or termination of, our pivotal clinical trials if these parties fail to perform as expected. For example, if any of our clinical trial sites fail to comply with FDA-approved good clinical practices, we may be unable to use the data gathered at those sites. If these clinical investigators, clinical sites or other third parties do not carry out their contractual duties or obligations or fail to meet expected deadlines, or if the quality or accuracy of the clinical data they obtain is compromised due to their failure to adhere to our clinical protocols or for other reasons, our pivotal clinical trials may be extended, delayed or terminated, and we may be unable to obtain regulatory approval for, or successfully commercialize, CORLUX.</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are unable to obtain or maintain regulatory approval, we will be limited in our ability to commercialize our products, including CORLUX, and our business will be harmed.</w:t>
      </w:r>
    </w:p>
    <w:p>
      <w:pPr>
        <w:spacing w:after="0" w:line="3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research, testing, manufacturing, selling and marketing of product candidates are subject to extensive regulation by the FDA and other regulatory authorities in the United States and other countries, which regulations differ from country to country. Obtaining and maintaining regulatory approval typically is an uncertain process, is costly and takes many years. In addition, failure to comply with the FDA and other applicable foreign and U.S. regulatory requirements may subject us to administrative or judicially imposed sanctions. These include warning letters, civil and criminal penalties, injunctions, product seizure or detention, product recalls, total or partial suspension of production, and refusal to approve pending NDAs, or supplements to approved NDAs.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Regulatory approval of an NDA or NDA supplement is never guaranteed. Despite the time, resources and effort expended, failure can occur at any stage.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FDA has substantial discretion in the drug approval process. The FDA can deny, delay or limit approval of a product candidate for many reasons including:</w:t>
      </w:r>
    </w:p>
    <w:p>
      <w:pPr>
        <w:spacing w:after="0" w:line="93"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to demonstrate that the candidate is safe;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not find data from the clinical or preclinical testing to be sufficient;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not approve our or our third party manufacturers’ processes or facilities.</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Future governmental action or changes in FDA policy or personnel may also result in delays or rejection of an NDA in the United States. In addition, because the only currently FDA-approved use of mifepristone is the termination of pregnancy, we expect that the label for CORLUX will include some limitations, including a warning that it should not be used by pregnant women.</w:t>
      </w:r>
    </w:p>
    <w:p>
      <w:pPr>
        <w:spacing w:after="0" w:line="4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receive regulatory approval for our product candidates, including CORLUX, we will also be subject to ongoing FDA obligations and continued regulatory oversight and review, such as continued safety reporting requirements; and we may also be subject to additional FDA post-marketing obligations. If we are not able to maintain regulatory compliance, we may not be permitted to market our products.</w:t>
      </w:r>
    </w:p>
    <w:p>
      <w:pPr>
        <w:spacing w:after="0" w:line="4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Any regulatory approvals that we receive for our product candidates may also be subject to limitations on the indicated uses for which the drug may be marketed or contain requirements for potentially costly post-marketing follow-up studies. In addition, if the FDA approves any of our product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60"/>
        <w:spacing w:after="0" w:line="306" w:lineRule="auto"/>
        <w:rPr>
          <w:sz w:val="20"/>
          <w:szCs w:val="20"/>
          <w:color w:val="auto"/>
        </w:rPr>
      </w:pPr>
      <w:r>
        <w:rPr>
          <w:rFonts w:ascii="Arial" w:cs="Arial" w:eastAsia="Arial" w:hAnsi="Arial"/>
          <w:sz w:val="16"/>
          <w:szCs w:val="16"/>
          <w:color w:val="auto"/>
        </w:rPr>
        <w:t>candidates, the labeling, packaging, adverse event reporting, storage, advertising, promotion and record-keeping for the drug will be subject to extensive regulatory requirements. The subsequent discovery of previously unknown problems with the drug, including adverse events of unanticipated severity or frequency, may result in restrictions on the marketing of the drug, and could include withdrawal of the drug from the market.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regulatory approval in foreign jurisdictions will prevent us from marketing our products abroad.</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market our products in international markets. Outside the United States, we can market a product only if we receive a marketing authorization and, in some cases, pricing approval, from the appropriate regulatory authorities. This foreign regulatory approval process includes all of the risks, and in some cases, additional risks, associated with the FDA approval process. The approval procedure varies among countries and can involve additional testing, and the time required to obtain approval may differ from that required to obtain FDA approval. We have not taken any actions to obtain foreign approvals. We may not obtain foreign regulatory approvals on a timely basis, if at all.</w:t>
      </w:r>
    </w:p>
    <w:p>
      <w:pPr>
        <w:spacing w:after="0" w:line="48"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Approval by the FDA does not ensure approval by regulatory authorities in other countries, and approval by one foreign regulatory authority does not ensure approval by regulatory authorities in other foreign countries or by the FDA. We may not be able to file for regulatory approvals and may not receive necessary approvals to commercialize our products in any market.</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“fast track” designation for development of CORLUX for the treatment of the psychotic features of PMD may not lead to a faster development or regulatory review or approval process.</w:t>
      </w:r>
    </w:p>
    <w:p>
      <w:pPr>
        <w:spacing w:after="0" w:line="3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a drug is intended for the treatment of a serious or life-threatening condition and the drug demonstrates the potential to address unmet medical needs for this condition, the drug sponsor may apply for FDA “fast track” designation for a particular indication. Marketing applications filed by sponsors of products in fast track development may qualify for expedited FDA review under the policies and procedures offered by the FDA, but the fast track designation does not assure any such qualification. Although we have obtained a fast track designation from the FDA for CORLUX for the treatment of the psychotic features of PMD, we may not experience a faster development process, review or approval compared to drugs considered for approval under conventional FDA procedures. In addition, the FDA may withdraw our fast track designation at any time. If we lose our fast track designation, the approval process may be delayed. In addition, our fast track designation does not guarantee that we will qualify for or be able to take advantage of the expedited review procedures and does not increase the likelihood that CORLUX will receive regulatory approval for the treatment of the psychotic features of PMD.</w:t>
      </w:r>
    </w:p>
    <w:p>
      <w:pPr>
        <w:spacing w:after="0" w:line="9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Even if we receive approval for the marketing and sale of CORLUX for the treatment of the psychotic features of PMD, it may never be accepted as a treatment for PMD.</w:t>
      </w:r>
    </w:p>
    <w:p>
      <w:pPr>
        <w:spacing w:after="0" w:line="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Many factors may affect the market acceptance and commercial success of CORLUX for the treatment of the psychotic features of PMD. Although there is currently no FDA-approved treatment for PMD, there are two treatment approaches currently used by psychiatrists: ECT and combination drug therapy. Even if the FDA approves CORLUX for the treatment of the psychotic features of PMD, physicians may not adopt CORLUX. Physicians will recommend the use of CORLUX only if they determine, based on experience, clinical data, side effect profiles and other factors, that it is preferable to other products or treatments then in use. Acceptance of CORLUX among influential practitioners will be essential for market acceptance of CORLUX.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Other factors that may affect the market acceptance and commercial success of CORLUX for the treatment of the psychotic features of PMD include:</w:t>
      </w:r>
    </w:p>
    <w:p>
      <w:pPr>
        <w:spacing w:after="0" w:line="100" w:lineRule="exact"/>
        <w:rPr>
          <w:sz w:val="20"/>
          <w:szCs w:val="20"/>
          <w:color w:val="auto"/>
        </w:rPr>
      </w:pPr>
    </w:p>
    <w:p>
      <w:pPr>
        <w:ind w:left="5680" w:right="3260" w:hanging="5226"/>
        <w:spacing w:after="0" w:line="440" w:lineRule="auto"/>
        <w:tabs>
          <w:tab w:leader="none" w:pos="80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CORLUX, including any side effects, as compared to alternative treatment methods; 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for CORLUX;</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cost-effectiveness of CORLUX and the availability of insurance or other third-party reimbursement, in particular Medicare and Medicaid, for patients using CORLUX;</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market entry of CORLUX relative to competitive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and success of our sales and marketing efforts;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adoption of CORLUX by physicians and by target patient population;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publicity concerning CORLUX, RU-486 or mifepristone.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failure of CORLUX to achieve market acceptance would prevent us from generating meaningful product revenue.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perception of the active ingredient in CORLUX, mifepristone or RU 486, may limit our ability to market and sell CORLUX.</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active ingredient in CORLUX, mifepristone or RU 486, is used to terminate pregnancy. As a result, mifepristone has been and continues to be the subject of considerable ethical and political debate in the United States and elsewhere. Public perception of mifepristone may limit our ability to engage alternative manufacturers and may limit the commercial acceptance of CORLUX by patients and physicians. Additionally, even though appropriate measures will be required to avoid prescribing CORLUX to a pregnant woman, physicians may decline to prescribe CORLUX to a woman simply to avoid altogether any risk of unintentionally terminating a pregnancy.</w:t>
      </w:r>
    </w:p>
    <w:p>
      <w:pPr>
        <w:spacing w:after="0" w:line="123" w:lineRule="exact"/>
        <w:rPr>
          <w:sz w:val="20"/>
          <w:szCs w:val="20"/>
          <w:color w:val="auto"/>
        </w:rPr>
      </w:pPr>
    </w:p>
    <w:p>
      <w:pPr>
        <w:ind w:right="120"/>
        <w:spacing w:after="0" w:line="351" w:lineRule="auto"/>
        <w:rPr>
          <w:sz w:val="20"/>
          <w:szCs w:val="20"/>
          <w:color w:val="auto"/>
        </w:rPr>
      </w:pPr>
      <w:r>
        <w:rPr>
          <w:rFonts w:ascii="Arial" w:cs="Arial" w:eastAsia="Arial" w:hAnsi="Arial"/>
          <w:sz w:val="15"/>
          <w:szCs w:val="15"/>
          <w:b w:val="1"/>
          <w:bCs w:val="1"/>
          <w:color w:val="auto"/>
        </w:rPr>
        <w:t>We have no manufacturing capabilities and we currently depend on third parties who are single source suppliers to manufacture CORLUX. If these suppliers are unable to continue manufacturing CORLUX and we are unable to contract quickly with alternative sources, our business will be harmed.</w:t>
      </w:r>
    </w:p>
    <w:p>
      <w:pPr>
        <w:spacing w:after="0" w:line="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currently have no experience in, and we do not own facilities for, manufacturing any products. We have a contract with ScinoPharm Taiwan, Ltd., a manufacturer of the active pharmaceutical ingredient, or API, of mifepristone and a contract with KP Pharmaceutical Technology, Inc., a tablet manufacturer for CORLUX. If we are unable to reach an agreement acceptable to us with a second API manufacturer that we have identified, ScinoPharm will be a single source supplier. Our agreement with ScinoPharm is terminable by either party at any time. The possible second API manufacturer we have identified and ScinoPharm both obtain the raw material they use to manufacture mifepristone from the same single source supplier. KP Pharmaceutical is a single source supplier to us as well. Our agreement with KP Pharmaceutical is effective through February 2005, but may be extended by mutual agreement. We have not yet identified an alternative tablet manufacturer. If we are unable, for whatever reason, to obtain the active pharmaceutical ingredient or CORLUX tablets from our contract manufacturers, we may not be able to manufacture in a timely manner, if at all.</w:t>
      </w:r>
    </w:p>
    <w:p>
      <w:pPr>
        <w:spacing w:after="0" w:line="9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our third party manufacturers of CORLUX fail to comply with FDA regulations or otherwise fail to meet our requirements, our product development and commercialization efforts may be delayed.</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depend on third party manufacturers to supply the active pharmaceutical ingredient in CORLUX and to manufacture CORLUX tablets. These suppliers and manufacturers must comply with the FDA’s current Good Manufacturing Practices, or cGMP, regulations and guidelines. Our suppliers and manufacturers may encounter difficulties in achieving quality control and quality assurance and may experience shortages of qualified personnel. Their failure to follow cGMP or other regulatory requirements and to document their compliance with cGMP may lead to significant delays in the availability of products for commercial use or clinical study or the termination or hold on a clinical study, or may delay or prevent filing or approval of marketing applications for CORLUX.</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Failure of our third party suppliers and manufacturers or us to comply with applicable regulations could result in sanctions being imposed on us, including fines, injunctions, civil penalties, failure of regulatory authorities to grant marketing approval of our products, delays, suspension or withdrawal of approvals, license revocation, seizures or recalls of products, operating restrictions and criminal prosecutions, any of which could harm our business. If the operations of any current or future supplier or manufacturer were to become unavailable for any reason, commercialization of CORLUX could be delayed and our revenue from product sales could be reduced.</w:t>
      </w:r>
    </w:p>
    <w:p>
      <w:pPr>
        <w:spacing w:after="0" w:line="4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may use a different third-party manufacturer to produce commercial quantities of CORLUX than we are using in our clinical trials. The FDA requires us to conduct a study to demonstrate that the tablets used in our clinical trials are equivalent to the final commercial product. If we are unable to establish that the tablets are equivalent or if the FDA disagrees with the results of our study, commercial launch of CORLUX would be delayed.</w:t>
      </w:r>
    </w:p>
    <w:p>
      <w:pPr>
        <w:spacing w:after="0" w:line="87"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b w:val="1"/>
          <w:bCs w:val="1"/>
          <w:color w:val="auto"/>
        </w:rPr>
        <w:t>If we or others identify side effects after our products are on the market, we may be required to perform lengthy additional clinical trials, change the labeling of our products or withdraw our products from the market, any of which would hinder or preclude our ability to generate revenues.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identify side effects after any of our products are on the market:</w:t>
      </w:r>
    </w:p>
    <w:p>
      <w:pPr>
        <w:spacing w:after="0" w:line="7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reformulate our products, conduct additional clinical trials, make changes in labeling of our products or implement changes to or obtain re-approvals of our manufacturing facilities;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a significant drop in the sales of the affected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in the marketplace may suffer;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become the target of lawsuits, including class action lawsuits.</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Any of these events could harm or prevent sales of the affected products or could substantially increase the costs and expenses of commercializing and marketing these products.</w:t>
      </w:r>
    </w:p>
    <w:p>
      <w:pPr>
        <w:spacing w:after="0" w:line="11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CORLUX or future product candidates conflict with the patents of others or if we become involved in other intellectual property disputes, we could have to engage in costly litigation or obtain a license and we may be unable to commercialize our products.</w:t>
      </w:r>
    </w:p>
    <w:p>
      <w:pPr>
        <w:spacing w:after="0" w:line="3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adequate patent protection for the use of CORLUX for the treatment of the psychotic features of PMD and other potential uses of GR-II antagonists. If we do not adequately protect our intellectual property, competitors may be able to use our intellectual property and erode our competitive advantage.</w:t>
      </w:r>
    </w:p>
    <w:p>
      <w:pPr>
        <w:spacing w:after="0" w:line="4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date, we own two U.S. patents and have exclusively licensed three issued U.S. patents, in each case along with a number of corresponding foreign patents or patent applications. We also have nine U.S. method of use patent applications for GR-II antagonists and two composition of matter patent applications covering specific GR-II antagonists. We have applied, and will continue to apply, for patents covering our product candidates as we deem appropriate. Our patent applications and patents licensed or issued to us may be challenged by third parties and our patent applications may not result in issued patents. For example, a third party has alleged that it also has rights to the technology that led to the patent for the use of GR-II antagonists to treat the psychotic features of PMD. The third party is a prior employer of one of our founders, Dr. Alan Schatzberg and it alleges that the invention of the technology underlying this patent was conceived by Dr. Schatzberg and/or another employee of the employer while the two were employed by the third party. We believe that the invention was actually conceived by Drs. Schatzberg and Belanoff while they were employed by Stanford University and that the patent was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appropriately assigned by them to Stanford University. We believe we will prevail if this matter is pursued against us. If, however, the third party’s claims were successful, it would have rights to market GR-II antagonists to treat the psychotic features of PMD or to license those rights to others and our business could be materially harmed. In addition, Akzo Nobel has filed an observation in our exclusively licensed European patent application with claims directed to PMD, in which Akzo Nobel challenges the claims of that patent application. We plan to vigorously rebut the points raised by Akzo. During prosecution of the U.S. patent for the use of CORLUX to treat the psychotic features of PMD, the U.S. Patent and Trademark Office considered issues similar to those raised by Akzo and the U.S. patent was ultimately granted. We cannot assure you, however, that the European Patent Office will reach the same conclusion. Should Akzo’s arguments persuade the European Patent Office that the claims should not issue, we will not have the benefit of patent protection in Europe for CORLUX to treat the psychotic features of PMD.</w:t>
      </w:r>
    </w:p>
    <w:p>
      <w:pPr>
        <w:spacing w:after="0" w:line="2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exclusively licensed three issued U.S. patents and one patent application from Stanford University for the use of GR-II antagonists in the treatment of PMD and early dementia, including early Alzheimer’s disease, and for increasing blood-brain barrier permeability. We bear the costs of protecting and defending the rights to these patents. In order to maintain the exclusive license to these patents until their expiration, we are obligated to make milestone and royalty payments to Stanford University. We are currently in compliance with our obligations under these agreements. If we become noncompliant, we may lose the right to commercialize CORLUX for the treatment of PMD and Alzheimer’s disease and our business would be materially harmed.</w:t>
      </w:r>
    </w:p>
    <w:p>
      <w:pPr>
        <w:spacing w:after="0" w:line="21"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Our presently pending and future patent applications may not issue as patents, and any patent issued to us may be challenged, invalidated, held unenforceable or circumvented. For example, the arguments presented by Akzo Nobel could be raised in the United States either before the U.S. Patent and Trademark Office or in a court of law. Furthermore, the claims in patents which have been issued to us, or which may be issued to us in the future, may not be sufficiently broad to prevent third parties from producing competing products. In addition, the laws of various foreign countries in which we compete may not protect our intellectual property to the same extent as do the laws of the United States. If we fail to obtain adequate patent protection for our proprietary technology, our competitors may produce competing products based on our technology, which would substantially impair our ability to compete.</w:t>
      </w:r>
    </w:p>
    <w:p>
      <w:pPr>
        <w:spacing w:after="0" w:line="2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a third party were successful in asserting an infringement claim against us, we could be forced to pay damages and prevented from developing, manufacturing or marketing our potential products. We do not have liability insurance for patent infringements. A third party could require us to obtain a license to continue to use their intellectual property, and we may not be able to do so on commercially acceptable terms, or at all. We believe that significant litigation will continue in our industry regarding patent and other intellectual property rights. If we become involved in litigation, it could consume a substantial portion of our resources. Regardless of the merit of any particular claim, defending a lawsuit takes significant time, is expensive and diverts management’s attention from other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trade secrets and proprietary information, our ability to compete in the market could be diminished.</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patents, we rely on a combination of confidentiality, nondisclosure and other contractual provisions, laws protecting trade secrets and security measures to protect our trade secrets and proprietary information. Nevertheless, these measures may not adequately protect our trade secrets or other proprietary information. If they do not adequately protect our rights, third parties could use our proprietary information, which could diminish our ability to compete in the market. In addition, employees, consultants and others who participate in the development of our products may breach their agreements with us regarding our trade secrets and other proprietary information, and we may not have adequate remedies for the breach. We also realize that our trade secrets may become known through means not currently foreseen. Notwithstanding our efforts to protect our trade secrets and proprietary information,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competitors may independently develop similar or alternative products that are equal or superior to our product candidates without infringing on any of our proprietary information or trade secrets.</w:t>
      </w:r>
    </w:p>
    <w:p>
      <w:pPr>
        <w:spacing w:after="0" w:line="112"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color w:val="auto"/>
        </w:rPr>
        <w:t>Our licensed patent covering the use of mifepristone to treat PMD is a method of use patent rather than a composition of matter patent, which increases the risk that physicians will prescribe another manufacturer’s mifepristone for the treatment of PMD rather than CORLUX.</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an exclusive license from Stanford University to a patent covering the use of GR-II antagonists, including mifepristone, for the treatment of PMD. A method of use patent covers only a specified use of a particular compound, not a particular composition of matter. All of our issued patents and all but one of our 10 U.S. patent applications relate to use patents. Because none of our issued patents covers the composition of mifepristone or any other compound, we cannot prevent others from commercializing mifepristone or any other GR-II antagonist. If others receive approval to manufacture and market mifepristone or any other GR-II antagonist, physicians could prescribe mifepristone or any other GR-II antagonist for PMD patients instead of CORLUX. Although any such “off-label” use would violate our licensed patent, effectively monitoring compliance with our licensed patent may be difficult and costly. In addition, if others develop a treatment for PMD that works through a mechanism which does not involve the GR-II receptor, physicians could prescribe that treatment instead of CORLUX.</w:t>
      </w:r>
    </w:p>
    <w:p>
      <w:pPr>
        <w:spacing w:after="0" w:line="2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Stanford University were to terminate our CORLUX license due to breach of the license on our part, we would not be able to commercialize CORLUX for the treatment of the psychotic features of PMD.</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efforts to discover, develop and commercialize new product candidates beyond CORLUX are at a very early stage. If we fail to identify and develop additional uses for GR-II antagonists, we may be unable to market additional products.</w:t>
      </w:r>
    </w:p>
    <w:p>
      <w:pPr>
        <w:spacing w:after="0" w:line="3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To develop additional sources of revenue, we believe that we must identify and develop additional product candidates. We have only recently begun to expand our research and development efforts toward identifying and developing product candidates in addition to CORLUX for the treatment of the psychotic features of PMD. We own or have exclusively licensed issued U.S. patents covering the use of GR-II antagonists to treat PMD, early dementia, mild cognitive impairment, psychosis associated with cocaine addiction and weight gain following treatment with antipsychotic medication, in addition to nine U.S. method of use patent applications covering GR-II antagonists for the treatment of a number of other neurological and psychiatric disorders and two U.S. composition of matter patent applications covering specific GR-II antagonists.</w:t>
      </w:r>
    </w:p>
    <w:p>
      <w:pPr>
        <w:spacing w:after="0" w:line="2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not develop product candidates for any of the indications or compounds covered by our patents and patent applications. Typically, there is a high rate of attrition for product candidates in preclinical and clinical trials, so our product development efforts may not lead to commercially viable products. The use of GR-II antagonists may not be effective to treat these conditions or any other indications. In addition, we could discover that the use of GR-II antagonists in these patient populations has unacceptable side effects or is otherwise not safe.</w:t>
      </w:r>
    </w:p>
    <w:p>
      <w:pPr>
        <w:spacing w:after="0" w:line="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only have experience with CORLUX and we may determine that CORLUX is not desirable for uses other than for the treatment of the psychotic features of PMD. In that event, we would have to identify and may need to secure rights to a different GR-II antagonist. Our ongoing discovery research program may fail to generate commercially viable product candidates in spite of the resources we are dedicating to the program. Even if product candidates are identified, we may abandon further development efforts before we reach clinical trials or after expending significant expense and time conducting clinical trials. Moreover, governmental authorities may enact new legislation or regulations that could limit or restrict our development efforts. If we are unable to successfully discover and commercialize new uses for GR-II antagonists, we may be unable to generate sufficient revenue to support our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Failure to raise additional capital or generate the significant capital necessary to expand our operations and invest in new products could reduce our ability to compete.</w:t>
      </w:r>
    </w:p>
    <w:p>
      <w:pPr>
        <w:spacing w:after="0" w:line="31"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We anticipate that our existing capital resources and the net proceeds from this offering will enable us to maintain currently planned operations through at least the next two years. However, our expectations are based on our current operating plan, which may change as a result of many factors, including:</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commercialization of CORLUX and future product candidates;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research efforts and clinical trials;</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announcements of claims of infringement, interference or litigation against us or our licensors;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reimbursement policies of third-party insurance companies or government agencies;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growth rates.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Consequently, we may need additional funding sooner than anticipated. We currently have no credit facility or committed sources of capital. Our inability to raise capital would harm our business and product development efforts.</w:t>
      </w:r>
    </w:p>
    <w:p>
      <w:pPr>
        <w:spacing w:after="0" w:line="3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dilution to our then-existing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substantial exposure to product liability claims and may not have adequate insurance to cover those claims.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be subject to product liability or other claims based on allegations that the use of our products has resulted in adverse effects or that our products are not effective, whether by participants in our clinical trials or by patients using our products. A product liability claim may damage our reputation by raising questions about our products’ safety or efficacy and could limit our ability to sell a product by preventing or interfering with product commercialization. In addition, the active ingredient in CORLUX is used to terminate pregnancy. Therefore, necessary and strict precautions must be taken by clinicians using the drug in our clinical trials and, if approved by the FDA, physicians prescribing the drug to women with childbearing potential. The failure to observe these precautions could result in significant product claims.</w:t>
      </w:r>
    </w:p>
    <w:p>
      <w:pPr>
        <w:spacing w:after="0" w:line="5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only limited product liability insurance coverage, with limits customary for a development stage company. We intend to expand our product liability insurance coverage to any products for which we obtain marketing approval. However, this insurance may be prohibitively expensive or may not fully cover our potential liabilities. Our inability to obtain adequate insurance coverage at an acceptable cost could prevent or inhibit the commercialization of our products. Defending a lawsuit could be costly and significantly divert management’s attention from conducting our business. If a third party successfully sues us for any injury caused by our products, our liability could exceed our total assets.</w:t>
      </w:r>
    </w:p>
    <w:p>
      <w:pPr>
        <w:spacing w:after="0" w:line="9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have no sales and marketing staff and will need to develop sales and marketing capabilities to successfully commercialize CORLUX and any future uses of GR-II antagonists.</w:t>
      </w:r>
    </w:p>
    <w:p>
      <w:pPr>
        <w:spacing w:after="0" w:line="3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employees have limited experience in marketing or selling pharmaceutical products and we currently have no sales and marketing staff. To achieve commercial success for any approved product, we must either develop a sales and marketing force or enter into arrangements with others to market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and sell our products. We currently plan to establish a small, specialty sales force to market and sell CORLUX in the United States for the treatment of the psychotic features of PMD. However, our sales and marketing efforts may not be successful or cost-effective. In the event that the commercial launch of CORLUX is delayed due to FDA requirements or other reasons, we may establish a sales and marketing force too early relative to the launch of CORLUX. This may be expensive, and our investment would be lost if the sales and marketing force could not be retained. If our efforts to develop a sales and marketing force are not successful, cost-effective and timely, we may not achieve profitability.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substantially increase the size of our organization, and we may experience difficulties in managing growth.</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we expand our research and development efforts and develop a sales and marketing organization, we expect to experience substantial growth, which may strain our operations, product development and other managerial and operating resources. Future growth will impose significant added responsibilities on members of management, including the need to identify, recruit, maintain and integrate additional employees. To date, we have relied on a small management team, including a number of part-time contributors. Our future financial performance and our ability to compete effectively will depend, in part, on our ability to manage any future growth effectively. To that end, we must be able to:</w:t>
      </w:r>
    </w:p>
    <w:p>
      <w:pPr>
        <w:spacing w:after="0" w:line="21"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our research and development efforts effectively;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 additional management, administrative and sales and marketing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the capacity, scalability and performance of our management team;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controls;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train additional qualified personnel.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be able to accomplish these tasks, and our failure to accomplish any of them could harm our business.</w:t>
      </w:r>
    </w:p>
    <w:p>
      <w:pPr>
        <w:spacing w:after="0" w:line="15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If we are unable to obtain acceptable prices or adequate reimbursement for our products from third-party payors, we will be unable to generate significant revenues.</w:t>
      </w:r>
    </w:p>
    <w:p>
      <w:pPr>
        <w:spacing w:after="0" w:line="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There is significant uncertainty related to the availability of insurance coverage and reimbursement for newly approved drugs. The commercial success of our drugs in both domestic and international markets is substantially dependent on whether third-party coverage and reimbursement is available for the ordering of our drugs by the medical profession for use by their patients. Medicare, Medicaid, health maintenance organizations and other third-party payors are increasingly attempting to contain healthcare costs by limiting both coverage and the level of reimbursement of new drugs, and, as a result, they may not cover or provide adequate payment for our drugs. The continuing efforts of government and third-party payors to contain or reduce the costs of health care may limit our revenues. Our dependence on the commercial success of CORLUX alone makes us particularly susceptible to any cost containment or reduction efforts. Accordingly, even if CORLUX or future product candidates are approved for commercial sale, unless government and other third-party payors provide adequate coverage and reimbursement for our products, physicians may not prescribe them. We intend to sell CORLUX directly to hospitals if we receive FDA approval. As a result, we will need to obtain approval from hospital formularies to receive wide-spread third-party reimbursement. If we fail to obtain that approval, we will be unable to generate significant revenues.</w:t>
      </w:r>
    </w:p>
    <w:p>
      <w:pPr>
        <w:spacing w:after="0" w:line="2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some foreign markets, pricing and profitability of prescription pharmaceuticals are subject to government control. In the United States, we expect that there will continue to be federal and state proposals for similar controls. Also, the trends toward managed health care in the United States and proposed legislation intended to reduce the cost of government insurance programs could significantly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influence the purchase of health care services and products and may result in lower prices for our products or the exclusion of our products from reimbursement programs.</w:t>
      </w:r>
    </w:p>
    <w:p>
      <w:pPr>
        <w:spacing w:after="0" w:line="11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face competition from companies with substantial financial, technical and marketing resources, which could limit our future revenues from the commercialization of CORLUX for the treatment of the psychotic features of PMD.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approved for commercial use, CORLUX as a treatment for PMD will compete with established treatments, including ECT and combination drug therapy.</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Combination drug therapy consists of the use of antipsychotic and antidepressant drugs, not currently approved for the treatment of PMD. The antipsychotics are prescribed for off-label use by physicians to treat the psychotic features of PMD, which is the clinical target of CORLUX. Antipsychotics include Bristol-Myers Squibb’s Abilify, Novartis’ Clozaril, Pfizer’s Geodon and Navane, Ortho-McNeil’s Haldol, Janssen Pharmaceutica’s Risperdal, AstraZeneca’s Seroquel, GlaxoSmithKline’s Stelazine and Thorazine, Mylan’s thioridazine, Schering Corporation’s Trilafon and Eli Lilly’s Zyprexa. CORLUX may not compete effectively with these established treatments. While we are unaware of any other ongoing clinical trials for new drugs for the treatment of PMD, other companies may also be developing new drug products to treat PMD. Our present and potential competitors include major pharmaceutical companies, as well as specialized pharmaceutical firms, universities and public and private research institutions. Moreover, we expect competition to intensify as technical advances are made. These competitors, either alone or with collaborative parties, may succeed with the development and commercialization of drug products that are superior to and more cost-effective than CORLUX. Many of our competitors and related private and public research and academic institutions have substantially greater experience, more financial resources and larger research and development staffs than we do. In addition, many of these competitors, either alone or together with their collaborative partners, have significantly greater experience than we do in developing drugs, obtaining regulatory approvals, manufacturing and commercializing products.</w:t>
      </w:r>
    </w:p>
    <w:p>
      <w:pPr>
        <w:spacing w:after="0" w:line="3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Accordingly, CORLUX may not be an effective competitor against established treatments and our present or potential competitors may succeed in developing drug products that are superior to CORLUX or render CORLUX obsolete or non-competitive. If we are unable to establish CORLUX as a superior and cost-effective treatment for PMD, or any future use, we may be unable to generate the revenues necessary to support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Rapid technological change could make our products obsolete.</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Pharmaceutical technologies have undergone rapid and significant change and we expect that they will continue to do so. Any products and processes that we develop may become obsolete or uneconomical before we recover any or all expenses incurred in connection with their development. Rapid technological change could make our products obsolete or uneconomical.</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lose our key personnel or are unable to attract and retain additional skilled personnel, we may be unable to pursue our product development and commercialization efforts.</w:t>
      </w:r>
    </w:p>
    <w:p>
      <w:pPr>
        <w:spacing w:after="0" w:line="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depend substantially on the principal members of our management and scientific staff, including Joseph K. Belanoff, M.D., our Chief Executive Officer, and Robert L. Roe, M.D., our President. We do not have agreements with any of our executive officers that provide for their continued employment with us or employment insurance covering any of our key personnel. Any officer or employee can terminate his or her relationship with us at any time and work for one of our competitors. The loss of these key individuals could result in competitive harm because we could experience delays in our product research, development and commercialization efforts without their expertise.</w:t>
      </w:r>
    </w:p>
    <w:p>
      <w:pPr>
        <w:spacing w:after="0" w:line="4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ability to operate successfully and manage our potential future growth depends significantly upon retaining key research, technical, sales, marketing, managerial and financial personnel,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attracting and retaining additional highly qualified personnel in these areas. We face intense competition for such personnel from numerous companies, as well as universities and nonprofit research organizations in the highly competitive northern California business area. Although we believe that we have been successful in attracting and retaining qualified personnel to date, we may not be able to attract and retain sufficient qualified personnel in the future. The inability to attract and retain these personnel could result in delays in the research, development and commercialization of our potential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acquire other GR-II antagonists, we will incur a variety of costs and may never realize the anticipated benefits of the acquisition.</w:t>
      </w:r>
    </w:p>
    <w:p>
      <w:pPr>
        <w:spacing w:after="0" w:line="8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If appropriate opportunities become available, we may attempt to acquire other GR-II antagonists, particularly GR-II antagonists that do not terminate pregnancy. We currently have no commitments, agreements or plans for any acquisitions. The process of acquiring rights to another GR-II antagonist may result in unforeseen difficulties and expenditures and may absorb significant management attention that would otherwise be available for ongoing development of our business. In addition, we may fail to realize the anticipated benefits of any acquired GR-II antagonist. Future acquisitions could dilute your ownership interest in us and could cause us to incur debt, expose us to future liabilities and result in amortization or other expenses related to goodwill and other intangible assets.</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occurrence of a catastrophic disaster or other similar events could cause damage to our or our manufacturers’ facilities and equipment, which could require us to cease or curtail operations.</w:t>
      </w:r>
    </w:p>
    <w:p>
      <w:pPr>
        <w:spacing w:after="0" w:line="3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our executive offices are located in the San Francisco Bay Area and our current manufacturers are located in earthquake-prone areas, our business is vulnerable to damage from various types of disasters or other similarly disruptive events, including earthquake, fire, flood, power loss and communications failures. In addition, political considerations relating to mifepristone may put us and our manufacturers at increased risk for terrorist attacks, protests or other disruptive events. If any disaster or other similar event were to occur, we may not be able to operate our business and our manufacturers may not be able to produce our products. Our insurance may not be adequate to cover, and our insurance policies may exclude coverage for, our losses resulting from disasters or other business interruptions.</w:t>
      </w:r>
    </w:p>
    <w:p>
      <w:pPr>
        <w:spacing w:after="0" w:line="1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this Offering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experience extreme price and volume fluctuations.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An active trading market for our common stock may not develop or be sustained following this offering. We have determined the initial public offering price with the representatives of the underwriters based on several factors. This price may vary after this offering. Our stock price is likely to be volatile. The stock market in general and securities of pharmaceutical companies in particular have been highly volatile and may continue to be highly volatile in the future. The following factors, in addition to other risk factors described in this section and general market and economic conditions, may have a significant impact on the market price of our common stock:</w:t>
      </w:r>
    </w:p>
    <w:p>
      <w:pPr>
        <w:spacing w:after="0" w:line="21"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commercialization of CORLUX and future product candidates;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FDA approval or non-approval of our products or delays in the FDA review process;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research and development efforts and clinical trials;</w:t>
      </w:r>
    </w:p>
    <w:p>
      <w:pPr>
        <w:spacing w:after="0" w:line="76" w:lineRule="exact"/>
        <w:rPr>
          <w:rFonts w:ascii="Arial" w:cs="Arial" w:eastAsia="Arial" w:hAnsi="Arial"/>
          <w:sz w:val="18"/>
          <w:szCs w:val="18"/>
          <w:color w:val="auto"/>
        </w:rPr>
      </w:pPr>
    </w:p>
    <w:p>
      <w:pPr>
        <w:ind w:left="800" w:right="50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announcements of claims of infringement, interference or litigation against us or our licensors;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specialty pharmaceutical or pharmaceutical industry in general;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concerns as to the safety of CORLUX and future product candidates or our competitors’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reimbursement policies of third-party insurance companies or government agencies;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growth rates or our competitors’ growth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securities analysts recommendations regarding our common stock or our competitors’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considerations relating to mifepristone;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a public market for our securities prior to this offering;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 or practices;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Significant volatility may lead to securities class action litigation against us. Whether or not meritorious, litigation brought against us could result in substantial costs and a diversion of management’s attention and resources. Our insurance to cover claims of this sort may not be adequate.</w:t>
      </w:r>
    </w:p>
    <w:p>
      <w:pPr>
        <w:spacing w:after="0" w:line="6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Securities analysts may not initiate coverage of our common stock or may issue negative reports, and this may have a negative impact on our common stock’s market price.</w:t>
      </w:r>
    </w:p>
    <w:p>
      <w:pPr>
        <w:spacing w:after="0" w:line="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Securities analysts may elect not to provide research coverage of our common stock after the completion of this offering. If securities analysts do not cover our common stock after the completion of this offering, the lack of research coverage may adversely affect our common stock’s market price. The trading market for our common stock may be affected in part on the research and reports that industry or financial analysts publish about us or our business. If one or more of the analysts who elects to cover us downgrades our stock, our stock price would likely decline rapidly. If one or more of these analysts ceases coverage of our company, we could lose visibility in the market, which in turn could cause our stock price to decline. In addition, recently-adopted rules mandated by the Sarbanes-Oxley Act of 2002, and a global settlement reached in 2003 between the SEC, other regulatory analysts and a number of investment banks will lead to a number of fundamental changes in how analysts are reviewed and compensated. In particular, many investment banking firms will be required to contract with independent financial analysts for their stock research. It may be difficult for companies such as ours with smaller market capitalizations to attract independent financial analysts that will cover our common stock. This could have a negative effect on our market price.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 of a substantial number of shares of our common stock may cause the price of our common stock to decline.</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following this offering could harm the market price of our common stock. As additional shares of our common stock become available for resale in the public market, the supply of our common stock will increase, which could decrease the price. Subject to applicable volume and other resale restrictions, there will be approximately 18,142,128 million additional shares of common stock eligible for sale beginning 180 days after the effective date of this prospectus upon the expiration of lock-up arrangements between our stockholders and the underwriters.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Our officers, directors and principal stockholders will control 71% of our common stock after this offering and will be able to significantly influence corporate actions.</w:t>
      </w:r>
    </w:p>
    <w:p>
      <w:pPr>
        <w:spacing w:after="0" w:line="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this offering, our officers, directors and principal stockholders will control approximately 71% of our common stock. As a result, these stockholders, acting together, will be able to significantly influence all matters requiring approval by our stockholders, including the election of directors and the approval of mergers or other business combination transactions. The interests of this group of stockholders may not always coincide with our interests or the interests of other stockholders and may prevent or delay a change in control. This concentration of ownership may have the effect of delaying or preventing a change in control and might adversely affect the market price of our common stock. In addition, this significant concentration of share ownership may adversely affect the trading price of our common stock because investors often perceive disadvantages to owning stock in companies with controlling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increased costs as a result of recently enacted and proposed changes in laws and regulations.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Recently enacted and proposed changes in the laws and regulations affecting public companies, including the provisions of the Sarbanes-Oxley Act of 2002 and regulations of the SEC and the Nasdaq Stock Market, will result in increased costs to us. The new rules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or our board committees, or as executive officers. At present, we cannot predict or estimate the amount of the additional costs related to these new rules and regulations or the timing of such costs.</w:t>
      </w:r>
    </w:p>
    <w:p>
      <w:pPr>
        <w:spacing w:after="0" w:line="10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Changes in or interpretations of accounting rules and regulations, such as expensing of stock options, could result in unfavorable accounting charges or require us to change our compensation policies.</w:t>
      </w:r>
    </w:p>
    <w:p>
      <w:pPr>
        <w:spacing w:after="0" w:line="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Accounting methods and policies for business and marketing practices of pharmaceutical companies, including policies regarding expensing employee stock options, are subject to further review, interpretation and guidance from relevant accounting authorities, including the SEC. For example, we currently are not required to record stock-based compensation charges if an employee’s stock option exercise price equals or exceeds the fair value of our common stock at the date of grant. The Financial Accounting Standards Board has announced its support for recording expense for the fair value of stock options granted. If we were to change our accounting policy to record expense for the fair value of stock options granted and retroactively restate all prior periods presented, then our operating expenses could increase. We rely heavily on stock options to compensate existing employees and attract new employees. If we are required to expense stock options, we may then choose to reduce our reliance on stock options as a compensation tool. If we reduce our use of stock options, it may be more difficult for us to attract and retain qualified employees. If we did not reduce our reliance on stock options, our reported losses would increase. Although we believe that our accounting practices are consistent with current accounting pronouncements, changes to or interpretations of accounting methods or policies in the future may require us to reclassify, restate or otherwise change or revise our financial statements.</w:t>
      </w:r>
    </w:p>
    <w:p>
      <w:pPr>
        <w:spacing w:after="0" w:line="10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Anti-takeover provisions in our charter and bylaws and under Delaware law may make an acquisition of us or a change in our management more difficult, even if an acquisition or a management change would be beneficial to our stockholders.</w:t>
      </w:r>
    </w:p>
    <w:p>
      <w:pPr>
        <w:spacing w:after="0" w:line="3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Provisions in our charter and bylaws as in effect immediately after this offering may delay or prevent an acquisition of us or a change in our management. Some of these provisions divide our board into three classes with only a portion of our directors subject to election at each annual meeting, allow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is appointed by our board of directors. In addition, because we are incorporated in Delaware, we are governed by the provisions of Section 203 of the Delaware General Corporation Law. Section 203 may prohibit large stockholders, in particular those owning 15% or more of our outstanding voting stock, from merging or combining with us. These provisions in our charter, bylaws and under Delaware law could reduce the price that investors might be willing to pay for shares of our common stock in the future and result in the market price being lower than it would be without these provisions.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spend a substantial portion of the net proceeds of this offering in ways that do not yield a favorable return.</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broad discretion to spend the net proceeds from this offering. As a result, investors in this offering will be relying upon our judgment with only limited information about our specific intentions regarding the use of proceeds. We cannot assure you that the proceeds will be applied in a manner that yields a favorable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investors will experience immediate and substantial dilution in the value of their common stock following this offering.</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assumed initial public offering price is substantially higher than the book value per share of our common stock. Investors purchasing common stock in this offering will, therefore, incur immediate dilution of $12.39 in net tangible book value per share of common stock, based on an assumed initial public offering price of $16.00 per share. Investors will incur additional dilution upon the exercise of outstanding stock options. As a result of this dilution, investors purchasing stock in this offering may receive significantly less than the full purchase price that they paid for the shares purchased in this offering in the event of a liquidation.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forward-looking statements. The forward-looking statements are contained principally in the sections entitled “Summary,” “Risk Factors,” “Use of Proceeds,” “Management’s Discussion and Analysis of Financial Condition and Results of Operations” and “Business.” These statements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include, but are not limited to, statements about:</w:t>
      </w:r>
    </w:p>
    <w:p>
      <w:pPr>
        <w:spacing w:after="0" w:line="48"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progress of our research, development and clinical programs and timing of the introduction of CORLUX and future product candidates;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estimates of the dates by which we expect to complete our clinical trials;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CORLUX or other future product candidates;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estimated use of the proceeds of this offering;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for future performance;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“anticipates,” “believes,” “could,” “estimates,” “expects,” “may,” “plans,” “potential,” “predicts,” “projects,” “should,” “will,” “would,” and similar expressions intended to identify forward-looking statements. Forward-looking statements reflect our current views with respect to future events and are based on assumptions and subject to risks and uncertainties. We discuss many of these risks in this prospectus in greater detail under the heading “Risk Factors.” Given these uncertainties, you should not place undue reliance on these forward-looking statements. Also, forward-looking statements represent our estimates and assumptions only as of the date of this prospectus. 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w:t>
      </w:r>
    </w:p>
    <w:p>
      <w:pPr>
        <w:spacing w:after="0" w:line="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Except as required by law, we assume no obligation to update such forward-looking statements publicly, or to update the reasons actual results could differ materially from those anticipated in such forward-looking statements, even if new information becomes available in the future.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estimate that the net proceeds from the sale of 5,000,000 shares of common stock that we are selling in this offering will be approximately $73.3 million, based on an assumed initial public offering price of $16.00 per share, after deducting the underwriting discounts and commissions and estimated offering expenses payable by us. If the underwriters’ over-allotment option is exercised in full and none of these shares are sold by the selling stockholder, we estimate that we will receive net proceeds of approximately $84.5 million. We will not receive any proceeds from the sale of common stock by the selling stockholder.</w:t>
      </w:r>
    </w:p>
    <w:p>
      <w:pPr>
        <w:spacing w:after="0" w:line="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use the net proceeds of this offering to fund our operations, including approximately $48.0 million for clinical trials, preclinical testing and other research and development activities, approximately $12.0 million for selling, manufacturing and general and administrative expenses and the remainder for working capital and other general corporate purposes.</w:t>
      </w:r>
    </w:p>
    <w:p>
      <w:pPr>
        <w:spacing w:after="0" w:line="4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amounts actually expended for these purposes may vary significantly and will depend on a number of factors, including the amount of our future revenues, expenses and the other factors described under “Risk Factors.” While we have no present understandings, commitments or agreements to enter into any potential acquisitions, we may also use a portion of the proceeds for the acquisition of, or investment in, technologies or products that complement our business. In addition, we will retain broad discretion in the allocation of the net proceeds of this offering. Pending these uses, we intend to invest the net proceeds from this offering in interest-bearing, investment-grade securities.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Since our incorporation, we have not declared or paid any cash dividends on our common stock and do not expect to do so in the foreseeable future. We currently intend to retain all available funds for use in the operation and expansion of our business.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our cash, cash equivalents, and short-term investments, and capitalization as of December 31, 2003 on an actual and pro forma as adjusted basis. This table does not include:</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470,500 shares issuable upon exercise of outstanding options to purchase our common stock at a weighted average exercise price of $5.46 per share;</w:t>
      </w:r>
    </w:p>
    <w:p>
      <w:pPr>
        <w:spacing w:after="0" w:line="111" w:lineRule="exact"/>
        <w:rPr>
          <w:rFonts w:ascii="Arial" w:cs="Arial" w:eastAsia="Arial" w:hAnsi="Arial"/>
          <w:sz w:val="15"/>
          <w:szCs w:val="15"/>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3,000,000 shares available for future issuance under our equity incentive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32,730 shares of our common stock issuable upon conversion of a promissory note.</w:t>
      </w:r>
    </w:p>
    <w:p>
      <w:pPr>
        <w:spacing w:after="0" w:line="7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This table should be read in conjunction with “Management’s Discussion and Analysis of Financial Condition and Results of Operation” and the financial statements and related notes included elsewhere in this prospectus.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As of 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Actual</w:t>
            </w:r>
          </w:p>
        </w:tc>
        <w:tc>
          <w:tcPr>
            <w:tcW w:w="9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short-term investments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w w:val="91"/>
              </w:rPr>
              <w:t>11,577,283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84,877,283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 payable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523,689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523,689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60" w:type="dxa"/>
            <w:vAlign w:val="bottom"/>
          </w:tcPr>
          <w:p>
            <w:pPr>
              <w:spacing w:after="0" w:line="138" w:lineRule="exact"/>
              <w:rPr>
                <w:sz w:val="20"/>
                <w:szCs w:val="20"/>
                <w:color w:val="auto"/>
              </w:rPr>
            </w:pPr>
            <w:r>
              <w:rPr>
                <w:rFonts w:ascii="Arial" w:cs="Arial" w:eastAsia="Arial" w:hAnsi="Arial"/>
                <w:sz w:val="14"/>
                <w:szCs w:val="14"/>
                <w:color w:val="auto"/>
                <w:w w:val="93"/>
              </w:rPr>
              <w:t>Convertible preferred stock, $0.001 par value, 10,000,000 shares authorized, and 6,768,558 shares issued and outstanding, actual (no shares authorized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tcPr>
          <w:p>
            <w:pPr>
              <w:ind w:left="200"/>
              <w:spacing w:after="0" w:line="159" w:lineRule="exact"/>
              <w:rPr>
                <w:sz w:val="20"/>
                <w:szCs w:val="20"/>
                <w:color w:val="auto"/>
              </w:rPr>
            </w:pPr>
            <w:r>
              <w:rPr>
                <w:rFonts w:ascii="Arial" w:cs="Arial" w:eastAsia="Arial" w:hAnsi="Arial"/>
                <w:sz w:val="14"/>
                <w:szCs w:val="14"/>
                <w:color w:val="auto"/>
              </w:rPr>
              <w:t>outstanding pro forma as adjusted)</w:t>
            </w:r>
          </w:p>
        </w:tc>
        <w:tc>
          <w:tcPr>
            <w:tcW w:w="120" w:type="dxa"/>
            <w:vAlign w:val="bottom"/>
          </w:tcPr>
          <w:p>
            <w:pPr>
              <w:spacing w:after="0"/>
              <w:rPr>
                <w:sz w:val="13"/>
                <w:szCs w:val="13"/>
                <w:color w:val="auto"/>
              </w:rPr>
            </w:pPr>
          </w:p>
        </w:tc>
        <w:tc>
          <w:tcPr>
            <w:tcW w:w="13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91"/>
              </w:rPr>
              <w:t>41,715,974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(net capital deficiency):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 $0.001 par value, 10,000,000 shares authorized and no shares outstanding, pro forma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Common stock, $0.001 par value, 30,000,000 and 140,000,000 shares authorized, actual and pro forma as adjusted, respectively; 9,334,982 shares issued</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and outstanding, actual; 23,142,128 shares issued and outstanding pro forma as adjusted</w:t>
            </w: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9,335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23,142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8,981,827</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123,983,994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Stockholder notes receivable</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(246,258)</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120" w:type="dxa"/>
            <w:vAlign w:val="bottom"/>
          </w:tcPr>
          <w:p>
            <w:pPr>
              <w:spacing w:after="0"/>
              <w:rPr>
                <w:sz w:val="12"/>
                <w:szCs w:val="12"/>
                <w:color w:val="auto"/>
              </w:rPr>
            </w:pPr>
          </w:p>
        </w:tc>
        <w:tc>
          <w:tcPr>
            <w:tcW w:w="13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4"/>
              </w:rPr>
              <w:t>(2,279,524)</w:t>
            </w:r>
          </w:p>
        </w:tc>
        <w:tc>
          <w:tcPr>
            <w:tcW w:w="8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(2,279,524)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Deficit accumulated during the development stage</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5"/>
              </w:rPr>
              <w:t>(37,937,426)</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(37,937,426)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6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0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stockholders’ equity (net capital deficiency)</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5"/>
              </w:rPr>
              <w:t>(31,472,689)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83,543,285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capitalization</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w w:val="91"/>
              </w:rPr>
              <w:t>10,766,974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84,066,974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-1804670</wp:posOffset>
            </wp:positionV>
            <wp:extent cx="51879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-1804670</wp:posOffset>
            </wp:positionV>
            <wp:extent cx="52705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51879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both"/>
        <w:ind w:right="300" w:firstLine="456"/>
        <w:spacing w:after="0" w:line="335" w:lineRule="auto"/>
        <w:rPr>
          <w:sz w:val="20"/>
          <w:szCs w:val="20"/>
          <w:color w:val="auto"/>
        </w:rPr>
      </w:pPr>
      <w:r>
        <w:rPr>
          <w:rFonts w:ascii="Arial" w:cs="Arial" w:eastAsia="Arial" w:hAnsi="Arial"/>
          <w:sz w:val="15"/>
          <w:szCs w:val="15"/>
          <w:color w:val="auto"/>
        </w:rPr>
        <w:t>The pro forma as adjusted information gives effect to the sale in this offering of 5,000,000 shares of common stock at an assumed initial public offering price of $16.00 per share, less underwriting discounts and commissions and estimated offering expenses payable by us. The pro forma as adjusted information also assumes the conversion of all outstanding shares of preferred stock into 8,807,146 shares of common stock upon the completion of this offering.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actual net tangible book value as of December 31, 2003 was $(31.5) million, or $(3.37) per share, based on 9,334,982 shares of common stock outstanding. Actual net tangible book value per share represents our total tangible assets less total liabilities and convertible preferred stock by the actual number of outstanding shares of our common stock.</w:t>
      </w:r>
    </w:p>
    <w:p>
      <w:pPr>
        <w:spacing w:after="0" w:line="4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 forma net tangible book value of our common stock as of December 31, 2003 was $10.2 million, or approximately $0.56 per share, based on 18,142,128 shares of common stock outstanding pro forma. Pro forma net tangible book value per share represents our total tangible assets less our total liabilities divided by the number of shares of our common stock outstanding after giving effect to the conversion of all outstanding shares of our convertible preferred stock into common stock upon the completion of this offering.</w:t>
      </w:r>
    </w:p>
    <w:p>
      <w:pPr>
        <w:spacing w:after="0" w:line="4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giving effect to the sale by us of 5,000,000 shares of our common stock in this offering at an assumed initial public offering price of $16.00 per share, less the underwriting discounts and commissions and estimated offering expenses payable by us, our pro forma as adjusted net tangible book value as of December 31, 2003 would have been $83.5 million, or approximately $3.61 per share. This represents an immediate increase in pro forma net tangible book value of $3.05 per share to existing stockholders and an immediate dilution of $12.39 per share to new investors purchasing our common stock in this offering.</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per share dilution to new investors: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294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$ 16.00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Actual net tangible book value per share as of December 31, 2003</w:t>
            </w:r>
          </w:p>
        </w:tc>
        <w:tc>
          <w:tcPr>
            <w:tcW w:w="17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 (3.37)</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Pro forma increase in net tangible book value per share attributable to the conversion of convertible preferred stock</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 forma net tangible book value per share as of December 31, 2003</w:t>
            </w:r>
          </w:p>
        </w:tc>
        <w:tc>
          <w:tcPr>
            <w:tcW w:w="2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$ 0.56</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200"/>
              <w:spacing w:after="0"/>
              <w:rPr>
                <w:sz w:val="20"/>
                <w:szCs w:val="20"/>
                <w:color w:val="auto"/>
              </w:rPr>
            </w:pPr>
            <w:r>
              <w:rPr>
                <w:rFonts w:ascii="Arial" w:cs="Arial" w:eastAsia="Arial" w:hAnsi="Arial"/>
                <w:sz w:val="14"/>
                <w:szCs w:val="14"/>
                <w:color w:val="auto"/>
              </w:rPr>
              <w:t>Increase in pro forma net tangible book value per share attributable to this offering</w:t>
            </w:r>
          </w:p>
        </w:tc>
        <w:tc>
          <w:tcPr>
            <w:tcW w:w="2120" w:type="dxa"/>
            <w:vAlign w:val="bottom"/>
            <w:gridSpan w:val="4"/>
          </w:tcPr>
          <w:p>
            <w:pPr>
              <w:jc w:val="right"/>
              <w:spacing w:after="0"/>
              <w:rPr>
                <w:sz w:val="20"/>
                <w:szCs w:val="20"/>
                <w:color w:val="auto"/>
              </w:rPr>
            </w:pPr>
            <w:r>
              <w:rPr>
                <w:rFonts w:ascii="Arial" w:cs="Arial" w:eastAsia="Arial" w:hAnsi="Arial"/>
                <w:sz w:val="14"/>
                <w:szCs w:val="14"/>
                <w:color w:val="auto"/>
              </w:rPr>
              <w:t>3.05</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pro forma net tangible book value per share after this offering</w:t>
            </w:r>
          </w:p>
        </w:tc>
        <w:tc>
          <w:tcPr>
            <w:tcW w:w="294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Dilution in per share to new investors in this offering</w:t>
            </w:r>
          </w:p>
        </w:tc>
        <w:tc>
          <w:tcPr>
            <w:tcW w:w="294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$ 12.39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summarizes, on a pro forma as adjusted basis as of December 31, 2003, the differences between the number of shares of common stock purchased from us, the total price and the average price per share paid by existing stockholders and by the new investors, before deducting the underwriting discounts and commissions and estimated offering expenses payable by us, at an assumed initial public offering price of $16.00 per share.</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Total Consideration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14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Amount</w:t>
            </w:r>
          </w:p>
        </w:tc>
        <w:tc>
          <w:tcPr>
            <w:tcW w:w="14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w w:val="87"/>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Existing stockholders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18,142,128</w:t>
            </w:r>
          </w:p>
        </w:tc>
        <w:tc>
          <w:tcPr>
            <w:tcW w:w="14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42,166,663</w:t>
            </w:r>
          </w:p>
        </w:tc>
        <w:tc>
          <w:tcPr>
            <w:tcW w:w="14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w:t>
            </w: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New investors</w:t>
            </w:r>
          </w:p>
        </w:tc>
        <w:tc>
          <w:tcPr>
            <w:tcW w:w="800" w:type="dxa"/>
            <w:vAlign w:val="bottom"/>
          </w:tcPr>
          <w:p>
            <w:pPr>
              <w:jc w:val="right"/>
              <w:spacing w:after="0"/>
              <w:rPr>
                <w:sz w:val="20"/>
                <w:szCs w:val="20"/>
                <w:color w:val="auto"/>
              </w:rPr>
            </w:pPr>
            <w:r>
              <w:rPr>
                <w:rFonts w:ascii="Arial" w:cs="Arial" w:eastAsia="Arial" w:hAnsi="Arial"/>
                <w:sz w:val="14"/>
                <w:szCs w:val="14"/>
                <w:color w:val="auto"/>
              </w:rPr>
              <w:t>5,000,000</w:t>
            </w:r>
          </w:p>
        </w:tc>
        <w:tc>
          <w:tcPr>
            <w:tcW w:w="1460" w:type="dxa"/>
            <w:vAlign w:val="bottom"/>
            <w:gridSpan w:val="3"/>
          </w:tcPr>
          <w:p>
            <w:pPr>
              <w:jc w:val="right"/>
              <w:ind w:right="300"/>
              <w:spacing w:after="0"/>
              <w:rPr>
                <w:sz w:val="20"/>
                <w:szCs w:val="20"/>
                <w:color w:val="auto"/>
              </w:rPr>
            </w:pPr>
            <w:r>
              <w:rPr>
                <w:rFonts w:ascii="Arial" w:cs="Arial" w:eastAsia="Arial" w:hAnsi="Arial"/>
                <w:sz w:val="14"/>
                <w:szCs w:val="14"/>
                <w:color w:val="auto"/>
              </w:rPr>
              <w:t>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80,000,000</w:t>
            </w:r>
          </w:p>
        </w:tc>
        <w:tc>
          <w:tcPr>
            <w:tcW w:w="1460" w:type="dxa"/>
            <w:vAlign w:val="bottom"/>
            <w:gridSpan w:val="3"/>
          </w:tcPr>
          <w:p>
            <w:pPr>
              <w:jc w:val="right"/>
              <w:ind w:right="300"/>
              <w:spacing w:after="0"/>
              <w:rPr>
                <w:sz w:val="20"/>
                <w:szCs w:val="20"/>
                <w:color w:val="auto"/>
              </w:rPr>
            </w:pPr>
            <w:r>
              <w:rPr>
                <w:rFonts w:ascii="Arial" w:cs="Arial" w:eastAsia="Arial" w:hAnsi="Arial"/>
                <w:sz w:val="14"/>
                <w:szCs w:val="14"/>
                <w:color w:val="auto"/>
              </w:rPr>
              <w:t>65%</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23,142,128</w:t>
            </w:r>
          </w:p>
        </w:tc>
        <w:tc>
          <w:tcPr>
            <w:tcW w:w="14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122,166,663</w:t>
            </w:r>
          </w:p>
        </w:tc>
        <w:tc>
          <w:tcPr>
            <w:tcW w:w="14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If the underwriters’ over-allotment option is exercised in full and none of these shares are sold by the selling stockholder, the number of shares held by the new investors will be increased to 5,750,000, or approximately 24% of the total numbers of shares of our common stock outstanding after this offering.</w:t>
      </w:r>
    </w:p>
    <w:p>
      <w:pPr>
        <w:spacing w:after="0" w:line="1" w:lineRule="exact"/>
        <w:rPr>
          <w:sz w:val="20"/>
          <w:szCs w:val="20"/>
          <w:color w:val="auto"/>
        </w:rPr>
      </w:pPr>
    </w:p>
    <w:p>
      <w:pPr>
        <w:ind w:right="240" w:firstLine="456"/>
        <w:spacing w:after="0" w:line="347" w:lineRule="auto"/>
        <w:rPr>
          <w:sz w:val="20"/>
          <w:szCs w:val="20"/>
          <w:color w:val="auto"/>
        </w:rPr>
      </w:pPr>
      <w:r>
        <w:rPr>
          <w:rFonts w:ascii="Arial" w:cs="Arial" w:eastAsia="Arial" w:hAnsi="Arial"/>
          <w:sz w:val="15"/>
          <w:szCs w:val="15"/>
          <w:color w:val="auto"/>
        </w:rPr>
        <w:t>The existing stockholder amounts in the table above have been calculated on a pro forma basis, which includes shares outstanding as of December 31, 2003, including the conversion of all outstanding shares of preferred stock into 8,807,146 of common stock upon the completion of this offering, but excludes:</w:t>
      </w:r>
    </w:p>
    <w:p>
      <w:pPr>
        <w:spacing w:after="0" w:line="1" w:lineRule="exact"/>
        <w:rPr>
          <w:sz w:val="20"/>
          <w:szCs w:val="20"/>
          <w:color w:val="auto"/>
        </w:rPr>
      </w:pPr>
    </w:p>
    <w:p>
      <w:pPr>
        <w:ind w:left="5620" w:right="180" w:hanging="5166"/>
        <w:spacing w:after="0" w:line="519" w:lineRule="auto"/>
        <w:tabs>
          <w:tab w:leader="none" w:pos="7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470,500 shares issuable upon exercise of outstanding options to purchase our common stock at a weighted average exercise price of $5.46 per share; 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3,000,000 shares available for future issuance under our equity incentive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32,730 shares of our common stock issuable upon conversion of a promissory note.</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After this offering and assuming the exercise in full of all options outstanding and exercisable as of December 31, 2003, our pro forma net tangible book value per share as of December 31, 2003 would be $3.65 per share, representing an immediate increase in net tangible book value of $3.09 per share to existing stockholders and an immediate dilution in net tangible book value of $12.35 per share to new investors.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selected financial data set forth below are derived from our financial statements. The statements of operations data for the years ended December 31, 2001, 2002, and 2003 and for the period from inception (May 13, 1998) to December 31, 2003 and the balance sheet data as of December 31, 2002 and 2003 are derived from our audited financial statements included in this prospectus. The statements of operations data for the years ended December 31, 1999 and 2000, and the balance sheet data as of December 31, 1999, 2000 and 2001 have been derived from our audited financial statements which are not included in this prospectus. The selected financial data set forth below should be read in conjunction with our financial statements, the related notes and “Management’s Discussion and Analysis of Financial Condition and Results of Operations” included elsewhere in this prospectus.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ind w:left="6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3"/>
              </w:rPr>
              <w:t>inception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(May 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1998)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1999</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2000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2001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ind w:left="26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Statements of Operations Data: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5,390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13,150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8,108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28,108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577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2,616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5,653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1,887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18,803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9,995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39,025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0"/>
              </w:rPr>
              <w:t>(1,896)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0"/>
              </w:rPr>
              <w:t>(8,006)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(18,803)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(9,995)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(39,025)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Interest and other income, net</w:t>
            </w:r>
          </w:p>
        </w:tc>
        <w:tc>
          <w:tcPr>
            <w:tcW w:w="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552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299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182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(310)</w:t>
            </w:r>
          </w:p>
        </w:tc>
        <w:tc>
          <w:tcPr>
            <w:tcW w:w="720" w:type="dxa"/>
            <w:vAlign w:val="bottom"/>
            <w:gridSpan w:val="4"/>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5"/>
              </w:rPr>
              <w:t>$ (1,846)</w:t>
            </w:r>
          </w:p>
        </w:tc>
        <w:tc>
          <w:tcPr>
            <w:tcW w:w="26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5"/>
              </w:rPr>
              <w:t>$ (7,454)</w:t>
            </w:r>
          </w:p>
        </w:tc>
        <w:tc>
          <w:tcPr>
            <w:tcW w:w="2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7"/>
              </w:rPr>
              <w:t>$ (18,504)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(9,813)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(37,938)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per share:</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Basic and 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ind w:right="460"/>
              <w:spacing w:after="0"/>
              <w:rPr>
                <w:sz w:val="20"/>
                <w:szCs w:val="20"/>
                <w:color w:val="auto"/>
              </w:rPr>
            </w:pPr>
            <w:r>
              <w:rPr>
                <w:rFonts w:ascii="Arial" w:cs="Arial" w:eastAsia="Arial" w:hAnsi="Arial"/>
                <w:sz w:val="14"/>
                <w:szCs w:val="14"/>
                <w:color w:val="auto"/>
              </w:rPr>
              <w:t>(0.09)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52"/>
              <w:spacing w:after="0"/>
              <w:rPr>
                <w:sz w:val="20"/>
                <w:szCs w:val="20"/>
                <w:color w:val="auto"/>
              </w:rPr>
            </w:pPr>
            <w:r>
              <w:rPr>
                <w:rFonts w:ascii="Arial" w:cs="Arial" w:eastAsia="Arial" w:hAnsi="Arial"/>
                <w:sz w:val="14"/>
                <w:szCs w:val="14"/>
                <w:color w:val="auto"/>
              </w:rPr>
              <w:t>(0.35)</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4"/>
          </w:tcPr>
          <w:p>
            <w:pPr>
              <w:jc w:val="right"/>
              <w:ind w:right="152"/>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(2.50)</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4"/>
          </w:tcPr>
          <w:p>
            <w:pPr>
              <w:jc w:val="right"/>
              <w:ind w:right="220"/>
              <w:spacing w:after="0"/>
              <w:rPr>
                <w:sz w:val="20"/>
                <w:szCs w:val="20"/>
                <w:color w:val="auto"/>
              </w:rPr>
            </w:pPr>
            <w:r>
              <w:rPr>
                <w:rFonts w:ascii="Arial" w:cs="Arial" w:eastAsia="Arial" w:hAnsi="Arial"/>
                <w:sz w:val="14"/>
                <w:szCs w:val="14"/>
                <w:color w:val="auto"/>
              </w:rPr>
              <w:t>(1.13)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Weighted average shares – basic and diluted</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3,569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5,981</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7,392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forma net loss per share:</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Basic and diluted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4"/>
          </w:tcPr>
          <w:p>
            <w:pPr>
              <w:jc w:val="right"/>
              <w:ind w:right="220"/>
              <w:spacing w:after="0"/>
              <w:rPr>
                <w:sz w:val="20"/>
                <w:szCs w:val="20"/>
                <w:color w:val="auto"/>
              </w:rPr>
            </w:pPr>
            <w:r>
              <w:rPr>
                <w:rFonts w:ascii="Arial" w:cs="Arial" w:eastAsia="Arial" w:hAnsi="Arial"/>
                <w:sz w:val="14"/>
                <w:szCs w:val="14"/>
                <w:color w:val="auto"/>
              </w:rPr>
              <w:t>(0.55)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Weighted average shares – basic and diluted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17,758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4"/>
                <w:szCs w:val="14"/>
                <w:color w:val="auto"/>
              </w:rPr>
              <w:t>* Includes non-cash stock-based compensation of the following: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1,214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551</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4"/>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680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2,145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4"/>
                <w:szCs w:val="14"/>
                <w:color w:val="auto"/>
              </w:rPr>
              <w:t>(308)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non-cash stock-based compensation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1,894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11"/>
          </w:tcPr>
          <w:p>
            <w:pPr>
              <w:jc w:val="right"/>
              <w:ind w:right="860"/>
              <w:spacing w:after="0"/>
              <w:rPr>
                <w:sz w:val="20"/>
                <w:szCs w:val="20"/>
                <w:color w:val="auto"/>
              </w:rPr>
            </w:pPr>
            <w:r>
              <w:rPr>
                <w:rFonts w:ascii="Arial" w:cs="Arial" w:eastAsia="Arial" w:hAnsi="Arial"/>
                <w:sz w:val="14"/>
                <w:szCs w:val="14"/>
                <w:b w:val="1"/>
                <w:bCs w:val="1"/>
                <w:color w:val="auto"/>
                <w:w w:val="89"/>
              </w:rPr>
              <w:t>As of 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Cash, cash equivalents and short-term investments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  416</w:t>
            </w:r>
          </w:p>
        </w:tc>
        <w:tc>
          <w:tcPr>
            <w:tcW w:w="80" w:type="dxa"/>
            <w:vAlign w:val="bottom"/>
          </w:tcPr>
          <w:p>
            <w:pPr>
              <w:spacing w:after="0"/>
              <w:rPr>
                <w:sz w:val="12"/>
                <w:szCs w:val="12"/>
                <w:color w:val="auto"/>
              </w:rPr>
            </w:pPr>
          </w:p>
        </w:tc>
        <w:tc>
          <w:tcPr>
            <w:tcW w:w="88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$ 1,000</w:t>
            </w:r>
          </w:p>
        </w:tc>
        <w:tc>
          <w:tcPr>
            <w:tcW w:w="100" w:type="dxa"/>
            <w:vAlign w:val="bottom"/>
          </w:tcPr>
          <w:p>
            <w:pPr>
              <w:spacing w:after="0"/>
              <w:rPr>
                <w:sz w:val="12"/>
                <w:szCs w:val="12"/>
                <w:color w:val="auto"/>
              </w:rPr>
            </w:pPr>
          </w:p>
        </w:tc>
        <w:tc>
          <w:tcPr>
            <w:tcW w:w="9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$ 22,980</w:t>
            </w: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$ 21,543</w:t>
            </w:r>
          </w:p>
        </w:tc>
        <w:tc>
          <w:tcPr>
            <w:tcW w:w="240" w:type="dxa"/>
            <w:vAlign w:val="bottom"/>
          </w:tcPr>
          <w:p>
            <w:pPr>
              <w:spacing w:after="0"/>
              <w:rPr>
                <w:sz w:val="12"/>
                <w:szCs w:val="12"/>
                <w:color w:val="auto"/>
              </w:rPr>
            </w:pPr>
          </w:p>
        </w:tc>
        <w:tc>
          <w:tcPr>
            <w:tcW w:w="3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22,224</w:t>
            </w: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20,222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88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1,046</w:t>
            </w:r>
          </w:p>
        </w:tc>
        <w:tc>
          <w:tcPr>
            <w:tcW w:w="100" w:type="dxa"/>
            <w:vAlign w:val="bottom"/>
          </w:tcPr>
          <w:p>
            <w:pPr>
              <w:spacing w:after="0"/>
              <w:rPr>
                <w:sz w:val="12"/>
                <w:szCs w:val="12"/>
                <w:color w:val="auto"/>
              </w:rPr>
            </w:pPr>
          </w:p>
        </w:tc>
        <w:tc>
          <w:tcPr>
            <w:tcW w:w="9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24,259</w:t>
            </w: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21,795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623</w:t>
            </w:r>
          </w:p>
        </w:tc>
        <w:tc>
          <w:tcPr>
            <w:tcW w:w="80" w:type="dxa"/>
            <w:vAlign w:val="bottom"/>
          </w:tcPr>
          <w:p>
            <w:pPr>
              <w:spacing w:after="0"/>
              <w:rPr>
                <w:sz w:val="12"/>
                <w:szCs w:val="12"/>
                <w:color w:val="auto"/>
              </w:rPr>
            </w:pPr>
          </w:p>
        </w:tc>
        <w:tc>
          <w:tcPr>
            <w:tcW w:w="88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1,803</w:t>
            </w:r>
          </w:p>
        </w:tc>
        <w:tc>
          <w:tcPr>
            <w:tcW w:w="100" w:type="dxa"/>
            <w:vAlign w:val="bottom"/>
          </w:tcPr>
          <w:p>
            <w:pPr>
              <w:spacing w:after="0"/>
              <w:rPr>
                <w:sz w:val="12"/>
                <w:szCs w:val="12"/>
                <w:color w:val="auto"/>
              </w:rPr>
            </w:pPr>
          </w:p>
        </w:tc>
        <w:tc>
          <w:tcPr>
            <w:tcW w:w="94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29,914</w:t>
            </w:r>
          </w:p>
        </w:tc>
        <w:tc>
          <w:tcPr>
            <w:tcW w:w="10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41,716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41,716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(net capital deficiency)</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(7,539)</w:t>
            </w:r>
          </w:p>
        </w:tc>
        <w:tc>
          <w:tcPr>
            <w:tcW w:w="10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(21,941)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(31,473)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-3183255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-3183255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-3183255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-3183255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-3183255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-3183255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-3183255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-3183255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-3183255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-3183255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-3183255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-3183255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-3183255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-3183255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-3183255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-3183255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-3183255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-3183255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-2831465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-2831465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-2831465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-2831465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-2831465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-2831465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-2831465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-2831465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-2831465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-2831465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-2831465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-2831465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-2831465</wp:posOffset>
            </wp:positionV>
            <wp:extent cx="33845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-2574290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-2574290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-2574290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-2574290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-2574290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-2574290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-2574290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-2574290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-2574290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-2574290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-2574290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-2574290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-2574290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-2574290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-2574290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-2153920</wp:posOffset>
            </wp:positionV>
            <wp:extent cx="33845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-1330960</wp:posOffset>
            </wp:positionV>
            <wp:extent cx="29591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-1330960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-1330960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-1330960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-1330960</wp:posOffset>
            </wp:positionV>
            <wp:extent cx="32131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-1330960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-1330960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-1330960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-1330960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-1330960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-1330960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-1330960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-1330960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-1330960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our financial statements and related notes for a description of the calculation of the historical and pro forma net loss per common share and the weighted-average number of shares used in computing the historical and pro forma per common share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i w:val="1"/>
          <w:iCs w:val="1"/>
          <w:color w:val="auto"/>
        </w:rPr>
        <w:t>The following discussion should be read in conjunction with our financial statements and related notes appearing elsewhere in this prospectus. This discussion may contain forward-looking statements based upon current expectations that involve risks and uncertainties. Our actual results and the timing of selected events could differ materially from those anticipated in these forward-looking statements as a result of selected factors, including those set forth under “Risk Factors” and elsewhere in this prospectus. We believe that the section entitled “Risk Factors” includes all material risks that could harm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278" w:lineRule="auto"/>
        <w:rPr>
          <w:sz w:val="20"/>
          <w:szCs w:val="20"/>
          <w:color w:val="auto"/>
        </w:rPr>
      </w:pPr>
      <w:r>
        <w:rPr>
          <w:rFonts w:ascii="Arial" w:cs="Arial" w:eastAsia="Arial" w:hAnsi="Arial"/>
          <w:sz w:val="16"/>
          <w:szCs w:val="16"/>
          <w:color w:val="auto"/>
        </w:rPr>
        <w:t>We are a pharmaceutical company engaged in the development of drugs for the treatment of severe psychiatric and neurological diseases. Since our inception in May 1998, our activities have primarily been associated with the development of our lead product, CORLUX</w:t>
      </w:r>
      <w:r>
        <w:rPr>
          <w:rFonts w:ascii="Arial" w:cs="Arial" w:eastAsia="Arial" w:hAnsi="Arial"/>
          <w:sz w:val="20"/>
          <w:szCs w:val="20"/>
          <w:color w:val="auto"/>
          <w:vertAlign w:val="superscript"/>
        </w:rPr>
        <w:t>™</w:t>
      </w:r>
      <w:r>
        <w:rPr>
          <w:rFonts w:ascii="Arial" w:cs="Arial" w:eastAsia="Arial" w:hAnsi="Arial"/>
          <w:sz w:val="16"/>
          <w:szCs w:val="16"/>
          <w:color w:val="auto"/>
        </w:rPr>
        <w:t>, for the treatment of the psychotic features of PMD under an exclusive patent license from Stanford University. We have been granted “fast track” status by the FDA with respect to CORLUX for the treatment of the psychotic features of PMD. We have completed the analysis of our first two large, double-blind trials, and plan to initiate additional clinical trials in 2004, including two pivotal clinical trials in the United States to support our NDA. We also initiated a clinical study in 2003 to explore the tolerability and efficacy of CORLUX in improving cognition in patients with mild to moderate Alzheimer’s disease. Specifically, our activities have included:</w:t>
      </w:r>
    </w:p>
    <w:p>
      <w:pPr>
        <w:spacing w:after="0" w:line="32"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designing, funding and overseeing clinical trials;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and clinical affairs;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intellectual property prosecution and expansion.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Historically, we have financed our operations and internal growth primarily through private placements of our preferred stock rather than through collaborative or partnership agreements. Therefore, we have no research funding or collaborative payments payable to us and the funding we received from one research institution is repayable to that organization subject to the terms of our convertible note.</w:t>
      </w:r>
    </w:p>
    <w:p>
      <w:pPr>
        <w:spacing w:after="0" w:line="4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in the development stage and have incurred significant losses since our inception because we have not generated any revenue, and do not expect to generate any revenue for the foreseeable future. As of December 31, 2003 we had a deficit accumulated during the development stage of approximately $37.9 million. Our historical operating losses have resulted principally from our research and development activities, including clinical trial activities for CORLUX, drug discovery research, non-clinical activities such as toxicology and carcinogenicity studies, manufacturing process development and regulatory activities, as well as general and administrative expenses. We expect to continue to incur net losses over the next several years as we complete our CORLUX clinical trials, apply for regulatory approvals, expand development of GR-II antagonists for new indications, acquire and develop treatments in other therapeutic areas, establish sales and marketing capabilities and expand our operations.</w:t>
      </w:r>
    </w:p>
    <w:p>
      <w:pPr>
        <w:spacing w:after="0" w:line="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is subject to significant risks, including the risks inherent in our research and development efforts, the results of our CORLUX clinical trials, uncertainties associated with obtaining and enforcing patents, our investment in manufacturing set-up, the lengthy and expensive regulatory approval process and competition from other products. Our ability to successfully generate revenues in the foreseeable future is dependent upon our ability, alone or with others, to develop, obtain regulatory approval for, manufacture and market our lead product.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2003 and 2002</w:t>
      </w:r>
    </w:p>
    <w:p>
      <w:pPr>
        <w:spacing w:after="0" w:line="8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include the personnel costs related to our development activities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as well as the costs of clinical trial preparations, enrollment and monitoring expenses, regulatory costs and the costs of manufacturing development.</w:t>
      </w:r>
    </w:p>
    <w:p>
      <w:pPr>
        <w:spacing w:after="0" w:line="4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Research and development expenses decreased 39% to $8.1 million for the year ended December 31, 2003, from $13.2 million for the year ended December 31, 2002. This decrease of $5.1 million was primarily attributable to decreases in preclinical and clinical trial expenses of $4.3 million due to the completion of one double-blind PMD clinical trial at the end of 2002 partially offset by the costs of the early-stage Alzheimer’s disease trial commenced in 2003. The decrease was also attributable to a decrease in non-cash stock-based compensation of $1.4 million due to the graded-vesting method used to determine non-cash employee stock-based compensation, which results in greater expense in earlier years. We also experienced decreased costs of $1.3 million related to clinical supplies, as no purchases of clinical supplies were required in 2003, and to certain manufacturing capacity development projects that were completed in 2002. Those decreases were partially offset by an increase in GR-II antagonists drug discovery research activities in 2003 resulting in additional research and development expenses of $1.9 million.</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research and development expenses by major project:</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8"/>
              </w:rPr>
              <w:t>Year ended December 31,</w:t>
            </w:r>
          </w:p>
        </w:tc>
      </w:tr>
      <w:tr>
        <w:trPr>
          <w:trHeight w:val="95"/>
        </w:trPr>
        <w:tc>
          <w:tcPr>
            <w:tcW w:w="5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63"/>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2002</w:t>
            </w:r>
          </w:p>
        </w:tc>
      </w:tr>
      <w:tr>
        <w:trPr>
          <w:trHeight w:val="95"/>
        </w:trPr>
        <w:tc>
          <w:tcPr>
            <w:tcW w:w="52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50"/>
        </w:trPr>
        <w:tc>
          <w:tcPr>
            <w:tcW w:w="5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(in thousands)</w:t>
            </w:r>
          </w:p>
        </w:tc>
        <w:tc>
          <w:tcPr>
            <w:tcW w:w="420" w:type="dxa"/>
            <w:vAlign w:val="bottom"/>
          </w:tcPr>
          <w:p>
            <w:pPr>
              <w:spacing w:after="0"/>
              <w:rPr>
                <w:sz w:val="21"/>
                <w:szCs w:val="21"/>
                <w:color w:val="auto"/>
              </w:rPr>
            </w:pPr>
          </w:p>
        </w:tc>
      </w:tr>
      <w:tr>
        <w:trPr>
          <w:trHeight w:val="149"/>
        </w:trPr>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CORLUX for the treatment of the psychotic features of PMD</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$ 4,659</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11,073</w:t>
            </w:r>
          </w:p>
        </w:tc>
      </w:tr>
      <w:tr>
        <w:trPr>
          <w:trHeight w:val="149"/>
        </w:trPr>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CORLUX for the treatment of early-stage Alzheimer’s disease</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838</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9"/>
        </w:trPr>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Drug discovery research</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2,059</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08"/>
        </w:trPr>
        <w:tc>
          <w:tcPr>
            <w:tcW w:w="5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r>
        <w:trPr>
          <w:trHeight w:val="102"/>
        </w:trPr>
        <w:tc>
          <w:tcPr>
            <w:tcW w:w="5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49"/>
        </w:trPr>
        <w:tc>
          <w:tcPr>
            <w:tcW w:w="6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research and development expense (excluding non-cash stock-based compensation)</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$ 7,556</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11,193</w:t>
            </w:r>
          </w:p>
        </w:tc>
      </w:tr>
      <w:tr>
        <w:trPr>
          <w:trHeight w:val="132"/>
        </w:trPr>
        <w:tc>
          <w:tcPr>
            <w:tcW w:w="5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2131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that research and development expenditures will increase substantially during 2004 and subsequent years due to the continuation and expansion of clinical trials of CORLUX for PMD and early-stage Alzheimer’s disease, the initiation of trials of CORLUX for other indications and additional study expenditures for new GR-II antagonists and other pharmaceutical candidates.</w:t>
      </w:r>
    </w:p>
    <w:p>
      <w:pPr>
        <w:spacing w:after="0" w:line="4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Many factors can affect the cost and timing of our trials including inconclusive results requiring additional clinical trials, slow patient enrollment, adverse side effects among patients, insufficient supplies for our clinical trials and real or perceived lack of effectiveness or safety of our trials. In addition, the development of all of our products will be subject to extensive governmental regulation. These factors make it difficult for us to predict the timing and costs of the further development and approval of our products.</w:t>
      </w:r>
    </w:p>
    <w:p>
      <w:pPr>
        <w:spacing w:after="0" w:line="4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consist primarily of the costs of administrative personnel and related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along with legal, accounting and other professional fees.</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 and administrative expenses decreased 67% to $1.9 million for the year ended December 31, 2003, from $5.7 million for the year ended December 31, 2002. This decrease of $3.8 million was primarily attributable to a decrease in non-cash stock-based compensation of $2.5 million. Included in the total decrease is the reversal of $1.4 million expense to reverse stock-based compensation expense as a result of using the graded vesting method for unvested options forfeited by terminated employees and by a director due to a reduction in service. In addition, there was a reduction of $1.2 million in professional service fees, $1.0 million of which related to the expenses of a proposed public offering withdrawn in October 2002. We expect that general and administrative expenditures will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increase during 2004 and subsequent years due to increasing payroll and non-cash stock-based compensation, commercialization efforts, business development costs associated with growth in our market research, and expanded operational infrastructure. An increase in general and administrative expenses is also expected to accompany our infrastructure growth associated with our public company reporting activities.</w:t>
      </w:r>
    </w:p>
    <w:p>
      <w:pPr>
        <w:spacing w:after="0" w:line="4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income, net, decreased to $203,000 for the year ended December 31, 2003 from $320,000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2002. The decrease was principally attributable to lower average cash, cash equivalents, and short-term investments balances during the year ended December 31, 2003 as compared to the year ended December 31, 2002.</w:t>
      </w:r>
    </w:p>
    <w:p>
      <w:pPr>
        <w:spacing w:after="0" w:line="4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of $21,000 for the years ended December 31, 2003 and 2002 represents interest on our convertible note payable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Institute for the Study of Aging.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2002 and 2001</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s. Research and development expenses increased 144% to $13.2 million for the year ended December 31, 2002, from</w:t>
      </w:r>
      <w:r>
        <w:rPr>
          <w:rFonts w:ascii="Arial" w:cs="Arial" w:eastAsia="Arial" w:hAnsi="Arial"/>
          <w:sz w:val="16"/>
          <w:szCs w:val="16"/>
          <w:i w:val="1"/>
          <w:iCs w:val="1"/>
          <w:color w:val="auto"/>
        </w:rPr>
        <w:t xml:space="preserve"> </w:t>
      </w:r>
      <w:r>
        <w:rPr>
          <w:rFonts w:ascii="Arial" w:cs="Arial" w:eastAsia="Arial" w:hAnsi="Arial"/>
          <w:sz w:val="16"/>
          <w:szCs w:val="16"/>
          <w:color w:val="auto"/>
        </w:rPr>
        <w:t>$5.4 million for the year ended December 31, 2001. This increase of $7.8 million was primarily attributable to preclinical and clinical trial expenses increasing by $5.5 million as two double-blind PMD clinical trials were in progress throughout 2002. The increase was also attributable to increased costs of $946,000 due to purchases of clinical supplies that were required in 2002 and certain manufacturing capacity development projects that were initiated in 2002. The increase was also attributable to increases in non-cash stock-based compensation expense of $740,000 primarily due to the issuance of common stock options in late 2001 deemed to be below the fair value of common stock.</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research and development expenses by major project:</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85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2"/>
              </w:rPr>
              <w:t>Year ended December 31,</w:t>
            </w:r>
          </w:p>
        </w:tc>
      </w:tr>
      <w:tr>
        <w:trPr>
          <w:trHeight w:val="95"/>
        </w:trPr>
        <w:tc>
          <w:tcPr>
            <w:tcW w:w="5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63"/>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Project</w:t>
            </w:r>
          </w:p>
        </w:tc>
        <w:tc>
          <w:tcPr>
            <w:tcW w:w="166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10" w:type="dxa"/>
            <w:vAlign w:val="bottom"/>
          </w:tcPr>
          <w:p>
            <w:pPr>
              <w:jc w:val="right"/>
              <w:ind w:right="52"/>
              <w:spacing w:after="0"/>
              <w:rPr>
                <w:sz w:val="20"/>
                <w:szCs w:val="20"/>
                <w:color w:val="auto"/>
              </w:rPr>
            </w:pPr>
            <w:r>
              <w:rPr>
                <w:rFonts w:ascii="Arial" w:cs="Arial" w:eastAsia="Arial" w:hAnsi="Arial"/>
                <w:sz w:val="14"/>
                <w:szCs w:val="14"/>
                <w:b w:val="1"/>
                <w:bCs w:val="1"/>
                <w:color w:val="auto"/>
                <w:w w:val="83"/>
              </w:rPr>
              <w:t>2002</w:t>
            </w:r>
          </w:p>
        </w:tc>
        <w:tc>
          <w:tcPr>
            <w:tcW w:w="14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2001</w:t>
            </w:r>
          </w:p>
        </w:tc>
      </w:tr>
      <w:tr>
        <w:trPr>
          <w:trHeight w:val="95"/>
        </w:trPr>
        <w:tc>
          <w:tcPr>
            <w:tcW w:w="52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50"/>
        </w:trPr>
        <w:tc>
          <w:tcPr>
            <w:tcW w:w="5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410" w:type="dxa"/>
            <w:vAlign w:val="bottom"/>
          </w:tcPr>
          <w:p>
            <w:pPr>
              <w:spacing w:after="0"/>
              <w:rPr>
                <w:sz w:val="21"/>
                <w:szCs w:val="21"/>
                <w:color w:val="auto"/>
              </w:rPr>
            </w:pPr>
          </w:p>
        </w:tc>
        <w:tc>
          <w:tcPr>
            <w:tcW w:w="144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w w:val="89"/>
              </w:rPr>
              <w:t>(in thousands)</w:t>
            </w:r>
          </w:p>
        </w:tc>
      </w:tr>
      <w:tr>
        <w:trPr>
          <w:trHeight w:val="149"/>
        </w:trPr>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CORLUX for the treatment of the psychotic features of PMD</w:t>
            </w:r>
          </w:p>
        </w:tc>
        <w:tc>
          <w:tcPr>
            <w:tcW w:w="175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11,073</w:t>
            </w:r>
          </w:p>
        </w:tc>
        <w:tc>
          <w:tcPr>
            <w:tcW w:w="1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$ 4,177</w:t>
            </w:r>
          </w:p>
        </w:tc>
      </w:tr>
      <w:tr>
        <w:trPr>
          <w:trHeight w:val="149"/>
        </w:trPr>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CORLUX for the treatment of early-stage Alzheimer’s disease</w:t>
            </w:r>
          </w:p>
        </w:tc>
        <w:tc>
          <w:tcPr>
            <w:tcW w:w="16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Drug discovery research</w:t>
            </w:r>
          </w:p>
        </w:tc>
        <w:tc>
          <w:tcPr>
            <w:tcW w:w="16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08"/>
        </w:trPr>
        <w:tc>
          <w:tcPr>
            <w:tcW w:w="5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r>
      <w:tr>
        <w:trPr>
          <w:trHeight w:val="102"/>
        </w:trPr>
        <w:tc>
          <w:tcPr>
            <w:tcW w:w="5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149"/>
        </w:trPr>
        <w:tc>
          <w:tcPr>
            <w:tcW w:w="6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research and development expense (excluding non-cash stock-based compensation)</w:t>
            </w:r>
          </w:p>
        </w:tc>
        <w:tc>
          <w:tcPr>
            <w:tcW w:w="175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11,193</w:t>
            </w:r>
          </w:p>
        </w:tc>
        <w:tc>
          <w:tcPr>
            <w:tcW w:w="1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$ 4,177</w:t>
            </w:r>
          </w:p>
        </w:tc>
      </w:tr>
      <w:tr>
        <w:trPr>
          <w:trHeight w:val="132"/>
        </w:trPr>
        <w:tc>
          <w:tcPr>
            <w:tcW w:w="5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6162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116% to $5.7 million for the year ended December 31, 2002, from</w:t>
      </w:r>
      <w:r>
        <w:rPr>
          <w:rFonts w:ascii="Arial" w:cs="Arial" w:eastAsia="Arial" w:hAnsi="Arial"/>
          <w:sz w:val="16"/>
          <w:szCs w:val="16"/>
          <w:i w:val="1"/>
          <w:iCs w:val="1"/>
          <w:color w:val="auto"/>
        </w:rPr>
        <w:t xml:space="preserve"> </w:t>
      </w:r>
      <w:r>
        <w:rPr>
          <w:rFonts w:ascii="Arial" w:cs="Arial" w:eastAsia="Arial" w:hAnsi="Arial"/>
          <w:sz w:val="16"/>
          <w:szCs w:val="16"/>
          <w:color w:val="auto"/>
        </w:rPr>
        <w:t>$2.6 million for the year ended December 31, 2001. This increase of $3.0 million was primarily attributable to a non-cash stock-based compensation expense increase of $1.5 million from the issuance of common stock options in late 2001 deemed to be below the fair value of common stock. The increase was also attributable to a $1.0 million increase in professional service fees primarily related to the expenses of a proposed public offering withdrawn in October 2002 and increased staffing costs of $553,000 due to the expansion of administrative activities to support our research and development. We also experienced an increase in general and administrative activities of $289,000 primarily due to the increased filings of patent applications and prosecution fees in 2002.</w:t>
      </w:r>
    </w:p>
    <w:p>
      <w:pPr>
        <w:spacing w:after="0" w:line="2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income, net, decreased to $320,000 for the year ended December 31, 2002 from $600,000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2001. The decrease was primarily attributable to lower average cash, cash equivalents and short-term investments balances during the year ended December 31, 2002 as compared to the year ended December 31, 2001.</w:t>
      </w:r>
    </w:p>
    <w:p>
      <w:pPr>
        <w:spacing w:after="0" w:line="4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of $21,000 for the year ended December 31, 2002 represents interest on our convertible note payable to the Institute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Study of Aging. Interest expense of $48,000 for the year ended December 31, 2001 represents interest on convertible promissory notes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previously issued to investors and converted to preferred stock in May 2001, as well as interest on the convertible note payable to the Institute for the Study of Aging.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We have incurred annual operating losses since inception, and at December 31, 2003, we had a deficit accumulated during the development stage of $37.9 million. Since our inception, we have relied primarily on the proceeds from private placements of our equity securities to fund our operations.</w:t>
      </w:r>
    </w:p>
    <w:p>
      <w:pPr>
        <w:spacing w:after="0" w:line="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December 31, 2003, we had cash, cash equivalents and short-term investments balances of $11.6 million, compared to $21.5 million at December 31, 2002 and cash and cash equivalents of $23.0 million at December 31, 2001. Net cash used in operating activities for the years ended December 31, 2003, 2002 and 2001, was $10.0 million, $13.2 million and $5.4 million, respectively. The use of cash in each period was primarily a result of net losses associated with our research and development activities and amounts incurred to develop our administrative infrastructure. If this offering is significantly delayed or we do not complete it, we may need to curtail or delay our planned clinical trials and other product development activities.</w:t>
      </w:r>
    </w:p>
    <w:p>
      <w:pPr>
        <w:spacing w:after="0" w:line="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the net proceeds from this offering, together with our current cash balances and interest thereon, will be sufficient to complete our ongoing and planned clinical trials reflected in the description of business, to conduct appropriate development studies and to satisfy our other anticipated cash needs for operating expenses for at least the next two years. However, we cannot be certain that additional funding will not be required and, if required, will be available on acceptable terms, or at all. Further any additional equity financing may be dilutive to stockholders, and debt financing, if available, may involve restrictive covenants. If adequate funds are not available, we may be required to delay, reduce the scope of or eliminate one or more of our research or development programs or to obtain funds through collaborations with others that are on unfavorable terms or that may require us to relinquish rights to certain of our technologies or products, including potentially our lead product, that we would otherwise seek to develop on our 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payment obligations that are fixed and determinable as of December 31, 2003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Beyond</w:t>
            </w:r>
          </w:p>
        </w:tc>
        <w:tc>
          <w:tcPr>
            <w:tcW w:w="0" w:type="dxa"/>
            <w:vAlign w:val="bottom"/>
          </w:tcPr>
          <w:p>
            <w:pPr>
              <w:spacing w:after="0"/>
              <w:rPr>
                <w:sz w:val="1"/>
                <w:szCs w:val="1"/>
                <w:color w:val="auto"/>
              </w:rPr>
            </w:pPr>
          </w:p>
        </w:tc>
      </w:tr>
      <w:tr>
        <w:trPr>
          <w:trHeight w:val="174"/>
        </w:trPr>
        <w:tc>
          <w:tcPr>
            <w:tcW w:w="4280" w:type="dxa"/>
            <w:vAlign w:val="bottom"/>
            <w:gridSpan w:val="4"/>
          </w:tcPr>
          <w:p>
            <w:pPr>
              <w:ind w:left="580"/>
              <w:spacing w:after="0"/>
              <w:rPr>
                <w:sz w:val="20"/>
                <w:szCs w:val="20"/>
                <w:color w:val="auto"/>
              </w:rPr>
            </w:pPr>
            <w:r>
              <w:rPr>
                <w:rFonts w:ascii="Arial" w:cs="Arial" w:eastAsia="Arial" w:hAnsi="Arial"/>
                <w:sz w:val="14"/>
                <w:szCs w:val="14"/>
                <w:b w:val="1"/>
                <w:bCs w:val="1"/>
                <w:color w:val="auto"/>
              </w:rPr>
              <w:t>Payments Due by Period</w:t>
            </w:r>
          </w:p>
        </w:tc>
        <w:tc>
          <w:tcPr>
            <w:tcW w:w="2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3"/>
              </w:rPr>
              <w:t>2005</w:t>
            </w:r>
          </w:p>
        </w:tc>
        <w:tc>
          <w:tcPr>
            <w:tcW w:w="780" w:type="dxa"/>
            <w:vAlign w:val="bottom"/>
            <w:gridSpan w:val="4"/>
          </w:tcPr>
          <w:p>
            <w:pPr>
              <w:jc w:val="center"/>
              <w:ind w:left="412"/>
              <w:spacing w:after="0"/>
              <w:rPr>
                <w:sz w:val="20"/>
                <w:szCs w:val="20"/>
                <w:color w:val="auto"/>
              </w:rPr>
            </w:pPr>
            <w:r>
              <w:rPr>
                <w:rFonts w:ascii="Arial" w:cs="Arial" w:eastAsia="Arial" w:hAnsi="Arial"/>
                <w:sz w:val="14"/>
                <w:szCs w:val="14"/>
                <w:b w:val="1"/>
                <w:bCs w:val="1"/>
                <w:color w:val="auto"/>
                <w:w w:val="83"/>
              </w:rPr>
              <w:t>2006</w:t>
            </w:r>
          </w:p>
        </w:tc>
        <w:tc>
          <w:tcPr>
            <w:tcW w:w="80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5"/>
                <w:szCs w:val="15"/>
                <w:color w:val="auto"/>
              </w:rPr>
            </w:pPr>
          </w:p>
        </w:tc>
        <w:tc>
          <w:tcPr>
            <w:tcW w:w="52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7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Research and development studies</w:t>
            </w:r>
            <w:r>
              <w:rPr>
                <w:rFonts w:ascii="Arial" w:cs="Arial" w:eastAsia="Arial" w:hAnsi="Arial"/>
                <w:sz w:val="20"/>
                <w:szCs w:val="20"/>
                <w:color w:val="auto"/>
                <w:vertAlign w:val="superscript"/>
              </w:rPr>
              <w:t>(1)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700" w:type="dxa"/>
            <w:vAlign w:val="bottom"/>
            <w:gridSpan w:val="3"/>
          </w:tcPr>
          <w:p>
            <w:pPr>
              <w:spacing w:after="0" w:line="176" w:lineRule="exact"/>
              <w:rPr>
                <w:sz w:val="20"/>
                <w:szCs w:val="20"/>
                <w:color w:val="auto"/>
              </w:rPr>
            </w:pPr>
            <w:r>
              <w:rPr>
                <w:rFonts w:ascii="Arial" w:cs="Arial" w:eastAsia="Arial" w:hAnsi="Arial"/>
                <w:sz w:val="13"/>
                <w:szCs w:val="13"/>
                <w:color w:val="auto"/>
              </w:rPr>
              <w:t>Drug discovery</w:t>
            </w:r>
            <w:r>
              <w:rPr>
                <w:rFonts w:ascii="Arial" w:cs="Arial" w:eastAsia="Arial" w:hAnsi="Arial"/>
                <w:sz w:val="20"/>
                <w:szCs w:val="20"/>
                <w:color w:val="auto"/>
                <w:vertAlign w:val="superscript"/>
              </w:rPr>
              <w:t>(2)</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1,060</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7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Operating lease</w:t>
            </w:r>
            <w:r>
              <w:rPr>
                <w:rFonts w:ascii="Arial" w:cs="Arial" w:eastAsia="Arial" w:hAnsi="Arial"/>
                <w:sz w:val="20"/>
                <w:szCs w:val="20"/>
                <w:color w:val="auto"/>
                <w:vertAlign w:val="superscript"/>
              </w:rPr>
              <w:t>(3)</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Arial" w:cs="Arial" w:eastAsia="Arial" w:hAnsi="Arial"/>
                <w:sz w:val="14"/>
                <w:szCs w:val="14"/>
                <w:color w:val="auto"/>
              </w:rPr>
              <w:t>Minimum royalty payments</w:t>
            </w:r>
            <w:r>
              <w:rPr>
                <w:rFonts w:ascii="Arial" w:cs="Arial" w:eastAsia="Arial" w:hAnsi="Arial"/>
                <w:sz w:val="22"/>
                <w:szCs w:val="22"/>
                <w:color w:val="auto"/>
                <w:vertAlign w:val="superscript"/>
              </w:rPr>
              <w:t>(4)</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60 per year</w:t>
            </w: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80" w:type="dxa"/>
            <w:vAlign w:val="bottom"/>
            <w:vMerge w:val="continue"/>
          </w:tcPr>
          <w:p>
            <w:pPr>
              <w:spacing w:after="0"/>
              <w:rPr>
                <w:sz w:val="12"/>
                <w:szCs w:val="12"/>
                <w:color w:val="auto"/>
              </w:rPr>
            </w:pPr>
          </w:p>
        </w:tc>
        <w:tc>
          <w:tcPr>
            <w:tcW w:w="3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$ 1,473</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$60 per year</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-172720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-172720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-172720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-172720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-172720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-172720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-172720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-172720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-172720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-172720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-172720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51879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The first two double-blind trials for PMD have concluded, with payments of approximately $249,000 remaining to be made in 2004.</w:t>
      </w:r>
    </w:p>
    <w:p>
      <w:pPr>
        <w:spacing w:after="0" w:line="7" w:lineRule="exact"/>
        <w:rPr>
          <w:rFonts w:ascii="Arial" w:cs="Arial" w:eastAsia="Arial" w:hAnsi="Arial"/>
          <w:sz w:val="22"/>
          <w:szCs w:val="22"/>
          <w:color w:val="auto"/>
          <w:vertAlign w:val="superscript"/>
        </w:rPr>
      </w:pPr>
    </w:p>
    <w:p>
      <w:pPr>
        <w:ind w:left="460" w:right="60" w:hanging="452"/>
        <w:spacing w:after="0" w:line="235"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We may terminate our agreement with a third party for drug discovery research on or after June 30, 2004 upon 90 days’ prior notice. Under the agreement, we may be obligated to make milestone payments upon the occurrence of certain events, including: (i) patent filings in connection with the project; (ii) entries into Phase I clinical trials; and (iii) national regulatory approval of each product arising from work performed under the agreement, provided that sales of the product by us or any future licensees reach $5,000,000.</w:t>
      </w:r>
    </w:p>
    <w:p>
      <w:pPr>
        <w:ind w:left="460" w:right="360" w:hanging="452"/>
        <w:spacing w:after="0" w:line="225"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Our operating lease commitment relates to the lease of our office facility. As of January 2004, the lease is a month-to-month lease terminable by either party upon 180 days’ notice to the other party.</w:t>
      </w:r>
    </w:p>
    <w:p>
      <w:pPr>
        <w:ind w:left="460" w:right="580" w:hanging="452"/>
        <w:spacing w:after="0" w:line="263" w:lineRule="auto"/>
        <w:tabs>
          <w:tab w:leader="none" w:pos="46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Under our cancelable license agreements with Stanford University, we are obligated to make nonrefundable minimum royalty payments of $60,000 annually for as long as we maintain our licenses from Stanford; however, these payments are creditable against future royalties.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have other contractual payment obligations, the timing of which are contingent on future events. Under our license agreement with Stanford University related to the patent covering the use of GR-II antagonists to treat the psychosis associated with PMD and early dementia, including early Alzheimer’s disease, we are obligated to make milestone payments to Stanford of $50,000 upon filing of an NDA covering the licensed product and $200,000 upon FDA approval of the licensed product. Under our license agreement with Stanford related to the patent application covering the use of GR-II antagonists for modulation of the blood-brain barrier, we are obligated to make milestone payments to Stanford of $100,000 upon commencement of pivotal clinical trials related to the licensed product and $250,000 upon FDA approval of the licensed product. The milestone payments payable to Stanford under these licenses are creditable against future royalties. In addition, our agreement with ScinoPharm Taiwan that provides for the manufacture and supply of the active pharmaceutical ingredient for CORLUX includes a minimum purchase commitment of $1,000,000 per year following the commercial launch of CORLUX.</w:t>
      </w:r>
    </w:p>
    <w:p>
      <w:pPr>
        <w:spacing w:after="0" w:line="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 into agreements with third-party service providers to conduct our clinical and preclinical trials and make payments to these providers based upon the number of patients enrolled in the trial as well as the completion of certain agreed-upon milestones. We are currently unable to estimate the amounts to be paid or the time period in which amounts will be paid pursuant to these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December 31, 2003 we had approximately $13.7 million of federal net operating loss carryforwards and approximately $100,000 in federal research and development tax credit carryforwards, as well as approximately $12.5 million of California net operating loss carryforwards and approximately $200,000 in California research and development tax credit carryforwards, available to offset any future taxable income we may generate. The federal and California net operating loss and tax credit carryforwards will expire beginning in 2019 and 2009, respectively. Our deferred tax assets have been offset by a full valuation allowance as the realization of such assets is uncertain. The Internal Revenue Code of 1986, as amended, places certain limitations on the annual amount of net operating loss and tax credit carryforwards that can be utilized in any particular year if certain changes in our ownership occur.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of loss. As of December 31, 2003, our cash and cash equivalents consisted primarily of money market funds maintained at one major U.S. financial institution, and the short-term investments consist of corporate debt securities and U.S. government obligations. To minimize our exposure to interest rate market risk, we have limited the maturities of our fixed rate investments to less than one year. Due to the short-term nature of these instruments, a 1% increase or decrease in market interest rates would not have a material adverse impact on the total value of our portfolio as of December 31, 2003 or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financial statements have been prepared in accordance with accounting principles generally accepted in the United States. The preparation of these financial statements requires us to make estimates and judgments that affect the reported amounts of assets, liabilities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8" w:lineRule="exact"/>
        <w:rPr>
          <w:sz w:val="20"/>
          <w:szCs w:val="20"/>
          <w:color w:val="auto"/>
        </w:rPr>
      </w:pPr>
    </w:p>
    <w:p>
      <w:pPr>
        <w:jc w:val="center"/>
        <w:ind w:left="400" w:right="300"/>
        <w:spacing w:after="0" w:line="440"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Stock-based compensation arises from the granting of stock options to employees and directors as well as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Deferred stock-based compensation related to option grants to employees and directors represents the difference between the exercise price of an option and the deemed fair value of our common stock on the date of the grant. Given the absence of an active market for our common stock, management is required to estimate the fair value of our common stock based on a variety of company and industry- specific factors for the purpose of measuring the cost of the transaction and properly reflecting it in our financial statements. Deferred compensation is included as a reduction of stockholders’ equity and is being amortized to expense over the vesting period of the underlying options, generally five years. Our policy is to use the graded-vesting method for recognizing compensation costs for fixed employee awards. We amortize the deferred stock-based compensation of employee options on the graded-vesting method over the vesting periods of the applicable stock options. The graded-vesting method provides for vesting of portions of the overall awards at interim dates and results in greater vesting in earlier years than the straight-line method. Upon termination of employment, the difference between the expense recorded under the graded-vesting method and the expense that would have been recorded based upon the vesting of the related option is required to be reversed upon such termination. We recognized non-cash stock-based compensation expense related to option grants to employees and directors of approximately $86,000, $4.0 million and $1.5 million for the years ended December 31, 2003, 2002 and 2001, respectively. As of December 31, 2003, we had remaining employee deferred stock-based compensation of approximately $2.0 million, of which approximately $1.1 million will be amortized to expense in 2004.</w:t>
      </w:r>
    </w:p>
    <w:p>
      <w:pPr>
        <w:spacing w:after="0" w:line="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Deferred stock-based compensation related to option grants to non-employees represents the difference between the exercise price of an option and the fair value of our common stock on the date that these options vest. We recognized stock-based compensation expense related to option grants to non-employees of approximately $89,000, $63,000 and $316,000 for the years ended December 31, 2003, 2002 and 2001, respectively as the straight-line amortization of deferred compensation recorded related to non-employees.</w:t>
      </w:r>
    </w:p>
    <w:p>
      <w:pPr>
        <w:spacing w:after="0" w:line="4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Clinical trials</w:t>
      </w:r>
      <w:r>
        <w:rPr>
          <w:rFonts w:ascii="Arial" w:cs="Arial" w:eastAsia="Arial" w:hAnsi="Arial"/>
          <w:sz w:val="16"/>
          <w:szCs w:val="16"/>
          <w:color w:val="auto"/>
        </w:rPr>
        <w:t>. We recorded accruals for estimated preclinical and clinical study costs of approximately $334,000 and $530,000 as of December 31, 2003</w:t>
      </w:r>
      <w:r>
        <w:rPr>
          <w:rFonts w:ascii="Arial" w:cs="Arial" w:eastAsia="Arial" w:hAnsi="Arial"/>
          <w:sz w:val="16"/>
          <w:szCs w:val="16"/>
          <w:i w:val="1"/>
          <w:iCs w:val="1"/>
          <w:color w:val="auto"/>
        </w:rPr>
        <w:t xml:space="preserve"> </w:t>
      </w:r>
      <w:r>
        <w:rPr>
          <w:rFonts w:ascii="Arial" w:cs="Arial" w:eastAsia="Arial" w:hAnsi="Arial"/>
          <w:sz w:val="16"/>
          <w:szCs w:val="16"/>
          <w:color w:val="auto"/>
        </w:rPr>
        <w:t>and 2002, respectively. The related costs are a significant component of our research and development expenses. We make significant judgments and estimates in determining the accrual balance in each reporting period. Accrued clinical trial costs are based on estimates of the work completed under the service agreements, milestones achieved, patient enrollment and past experience with similar contracts. Our estimate of the work completed and associated costs to be accrued includes our assessment of the information received from our third-party contract research organizations and the overall status of our clinical trial activities. In the past, we have not experienced any material deviations between accrued clinical trial expenses and actual clinical trial expenses. However, actual services performed, number of patients enrolled and the rate of patient enrollment may vary from our estimates, resulting in adjustments to clinical trial expense in future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In January 2003, the Financial Accounting Standards Board (“FASB”) issued FASB Interpretation number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 This interpretation requires existing unconsolidated variable interest entities to be consolidated by their primary beneficiaries if the entities do not effectively disperse risks among parties involved. It explains how to identify variable interest entities and how an enterprise assesses its interest in a variable interest entity to decide whether to consolidate that entity. This interpretation, as amended, applies in the first fiscal year or interim period beginning after December 15, 2003, to variable interest entities in which an enterprise holds a variable interest that it acquired before February 1, 2003. Because we do not currently have any unconsolidated variable interest entities, we do not expect the adoption of FIN 46 to have a material impact on our financial position or results of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May 2003, the FASB issued Statement of Financial Accounting Standards (“SFAS”) No. 150, </w:t>
      </w:r>
      <w:r>
        <w:rPr>
          <w:rFonts w:ascii="Arial" w:cs="Arial" w:eastAsia="Arial" w:hAnsi="Arial"/>
          <w:sz w:val="16"/>
          <w:szCs w:val="16"/>
          <w:i w:val="1"/>
          <w:iCs w:val="1"/>
          <w:color w:val="auto"/>
        </w:rPr>
        <w:t>Accounting for Certain Financial Instruments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Both Liabilities and Equity</w:t>
      </w:r>
      <w:r>
        <w:rPr>
          <w:rFonts w:ascii="Arial" w:cs="Arial" w:eastAsia="Arial" w:hAnsi="Arial"/>
          <w:sz w:val="16"/>
          <w:szCs w:val="16"/>
          <w:color w:val="auto"/>
        </w:rPr>
        <w:t>. SFAS No. 150 requires that certain financial instruments, which under previous guidance were accounted for as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must now be accounted for as liabilities. The financial instruments affected include mandatorily redeemable stock, certain financial instruments that require or may require the issuer to buy back some of its shares in exchange for cash or other assets and certain obligations that can be settled with shares of stock. SFAS No. 150 is effective for all financial instruments entered into or modified after May 31, 2003 and otherwise is effective at the beginning of the first interim period after June 15, 2003. The adoption of SFAS No. 150 did not have a material impact on our financial position or results of operations.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 pharmaceutical company engaged in the development of drugs for the treatment of severe psychiatric and neurological diseases. Our current focus is on the development of drugs for disorders that are associated with a steroid hormone called cortisol. Elevated levels and abnormal release patterns of cortisol have been implicated in a broad range of human disorders. Our scientific founders are responsible for many of the critical discoveries illustrating the link between psychiatric and neurological disorders and aberrant cortisol.</w:t>
      </w:r>
    </w:p>
    <w:p>
      <w:pPr>
        <w:spacing w:after="0" w:line="4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lead product candidate, CORLUX, modulates the effect of cortisol by selectively blocking the binding of cortisol to one of its two known receptors, the GR-II receptor, also known as the Type II or GR receptor. We have been granted fast track status by the FDA and are preparing to initiate pivotal clinical trials for CORLUX for the treatment of the psychotic features of PMD. We have also initiated a clinical study to evaluate the safety and efficacy of CORLUX in improving cognition in patients with mild to moderate Alzheimer’s disease.</w:t>
      </w:r>
    </w:p>
    <w:p>
      <w:pPr>
        <w:spacing w:after="0" w:line="4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PMD is a serious psychiatric disorder that affects approximately three million people annually in the United States. It is more prevalent than either schizophrenia or manic depressive illness. The disorder is characterized by severe depression accompanied by delusions, hallucinations or both. People with PMD are approximately 70 times more likely to commit suicide in their lifetime than the general population and often require lengthy and expensive hospital stays.</w:t>
      </w:r>
    </w:p>
    <w:p>
      <w:pPr>
        <w:spacing w:after="0" w:line="1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There is no FDA-approved treatment for PMD. However, there are two treatment approaches for PMD currently used by psychiatrists: electroconvulsive therapy, or ECT, commonly referred to as electroshock therapy, and combination drug therapy. ECT involves passing an electrical current through the brain until the patient has a seizure. Combination drug therapy involves the simultaneous use of antidepressant and antipsychotic medications. Both ECT and combination drug therapy almost always have slow onsets of action and debilitating side effects.</w:t>
      </w:r>
    </w:p>
    <w:p>
      <w:pPr>
        <w:spacing w:after="0" w:line="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an exclusive license to the patent for the use of GR-II antagonists to treat the psychosis manifested by PMD patients. We also own or have exclusively licensed issued patents and patent applications relating to the treatment of several disorders that we believe also result from, or are negatively affected by, prolonged exposure to elevated cortisol. These include patents for the use of GR-II antagonists for the treatment of early dementia, such as early dementia associated with Alzheimer’s disease, mild cognitive impairment, psychosis associated with cocaine addiction, and weight gain following treatment with antipsychotic medication. We have also filed patent applications for additional diseases that may benefit from treatment with a drug that blocks the GR-II receptor.</w:t>
      </w:r>
    </w:p>
    <w:p>
      <w:pPr>
        <w:spacing w:after="0" w:line="5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initially intend to market and sell CORLUX in the United States directly to hospitals with in-patient psychiatric units, first focusing on those that use ECT. Given the concentrated nature of the initial target audience, we believe that we will be able to generate significant revenue with a relatively small, highly-focused sales and marketing team.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Cortisol in Disease</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Cortisol is a steroid hormone that plays a significant role in the way the body reacts to stressful conditions and is essential for survival. Cortisol significantly influences metabolism, exerts a clinically useful anti-inflammatory effect and contributes to emotional stability. Insufficient levels of cortisol may lead to dehydration, hypotension, shock, fatigue, low resistance to infection, trauma, stress and hypoglycemia. Excessive levels of cortisol may lead to edema, hypertension, fatigue and impaired glucose tolerance.</w:t>
      </w:r>
    </w:p>
    <w:p>
      <w:pPr>
        <w:spacing w:after="0" w:line="4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Elevated levels and abnormal release patterns of cortisol have also been linked to a broad range of psychiatric and neurological conditions, such as mood changes, psychosis and cognitive impairment.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color w:val="auto"/>
        </w:rPr>
        <w:t>Cognition, including attention, concentration and memory, is impaired by elevated levels and abnormal release patterns of cortisol. Prolonged elevated levels of cortisol are neurotoxic and may accelerate the dementia process in patients with cognitive disorders such as Alzheimer’s disease.</w:t>
      </w:r>
    </w:p>
    <w:p>
      <w:pPr>
        <w:spacing w:after="0" w:line="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Many studies have shown that PMD patients have elevated levels and abnormal release patterns of cortisol. This abnormal cortisol pattern is not usually present in patients with nonpsychotic depression. More than 15 years ago, one of our scientific co-founders postulated that elevated levels of cortisol in PMD patients lead to elevated levels of dopamine, an important chemical substance found in the brain. Elevated levels of dopamine have been implicated in both delusional thinking and hallucinations. This was a clinically relevant hypothesis because it led to the concept that antipsychotic medications, which act by blocking dopamine, in combination with antidepressant medications, could be useful in treating PMD. The hypothesis also led to the concept that by regulating the level and release patterns of cortisol, one could normalize dopamine levels in the brain, which may, in turn, ameliorate the symptoms of PMD. In addition to cortisol’s effect on dopamine levels, research has shown that prolonged elevated cortisol may also play a direct role in causing the symptoms of PMD.</w:t>
      </w:r>
    </w:p>
    <w:p>
      <w:pPr>
        <w:spacing w:after="0" w:line="2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challenge in regulating levels of cortisol, however, is that it is needed for natural processes in the human body. Destroying the ability of the body to make cortisol or to drastically reduce its presence would result in serious detrimental effects. To have a viable therapeutic effect, a compound must be able to selectively modulate cortisol effects.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Glucocorticoid Receptor Antagonists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Cortisol is produced by the adrenal glands and is carried in the bloodstream to the brain, where it directly influences neurological function. In the brain, cortisol binds to two receptors, Glucocorticoid Receptor I and Glucocorticoid Receptor II, also known as GR-I and GR-II. GR-I is a high-affinity receptor that is involved in the routine functions of cortisol. It has approximately ten times the affinity of GR-II for cortisol and its binding sites are filled with cortisol nearly all the time. In general, GR-II binding sites do not fill until levels of cortisol become elevated. Short-term activation of GR-II has benefits, which include helping the individual to be more alert and better able to function under stressful conditions. Long-term activation of GR-II, however, has been shown to have significant toxicity and appears to be linked to multiple psychiatric disease states, particularly PMD. The action of cortisol can be moderated by the use of blockers, or antagonists, that prevent the binding of the hormone to its receptors. These antagonists, referred to as glucocorticoid receptor antagonists, may prevent the undesirable effects of elevated levels and abnormal release patterns of cortisol.</w:t>
      </w:r>
    </w:p>
    <w:p>
      <w:pPr>
        <w:spacing w:after="0" w:line="2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discovery that the brain has high affinity and low affinity receptors for cortisol was critical to our scientific approach in treating the psychosis manifested by PMD patients because it allowed for a specific target for a potential medication. CORLUX, also known as mifepristone or RU-486, works by selectively blocking the binding of cortisol to GR-II while not affecting GR-I. Because of its selective affinity, we believe that CORLUX can have a therapeutic benefit by modulating the effects of abnormal levels and release patterns of cortisol without compromising the necessary normal functions of cortisol.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Psychotic Major Depression</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PMD is a serious psychiatric disease in which a patient suffers from severe depression accompanied by delusions, hallucinations or both. These psychotic features typically develop after the onset of a depressed mood, but may develop concurrently as well. Once psychotic symptoms occur, they usually reappear with each subsequent depressive episode. Of particular importance, when the patient’s mood returns to normal the psychosis also resolves.</w:t>
      </w:r>
    </w:p>
    <w:p>
      <w:pPr>
        <w:spacing w:after="0" w:line="1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PMD is not a simple combination of psychosis and depression, but rather a complex interaction between a predisposition to become psychotic and a predisposition to become severely depressed. In addition to psychosis, clinical features that distinguish psychotic from nonpsychotic depression include elevated levels and abnormal release patterns of cortisol, motor abnormalities, a substantially higher suicide rate, more prominent sleep abnormalities and more potential for brain injury.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Data from a congressionally mandated study, the National Co-Morbidity Survey published in 2003, indicate that each year approximately 7% of adults in the United States, or about 14 million people, experience a major depressive episode. Of these people, many published studies show that approximately 20%, or about three million people, have PMD. Most PMD patients suffer their first episode of major depression between the ages of 30 and 40 and the majority will experience more than one episode in their lifetime.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people afflicted with PMD are, as a group, unrecognized and undertreated because of:</w:t>
      </w:r>
    </w:p>
    <w:p>
      <w:pPr>
        <w:spacing w:after="0" w:line="7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reluctance on the part of patients with PMD to accurately report their psychotic symptoms;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misdiagnosis of the disease by primary care physicians;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reluctance of patients and their families to be associated with the stigma of hospitalization for psychiatric care;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side effects associated with current treatments for PMD.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Treatments for PMD</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There are two treatment approaches for PMD currently used by psychiatrists: ECT and combination drug therapy. Neither of these treatments has been approved by the FDA for PMD and both approaches almost always have slow onsets of action and debilitating side effects. Of the two treatments, ECT is generally considered to be more effective.</w:t>
      </w:r>
    </w:p>
    <w:p>
      <w:pPr>
        <w:spacing w:after="0" w:line="4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ECT involves passing an electrical current through the brain until the patient has a seizure. At least 100,000 patients receive ECT each year in the United States, with each patient requiring approximately six to twelve procedures over a period of three to five weeks. ECT is administered while the patient is under general anesthesia and the procedure requires the use of an operating room, as well as the participation of a psychiatrist, an anesthesiologist and a nurse. General anesthesia and paralytic agents are necessary to avoid fractures of the spine that otherwise could result from the seizures caused by ECT. Although ECT provides a reduction in depressive and psychotic symptoms, the procedure can result in cognitive impairment including permanent memory loss, cardiovascular complications, headache, muscle ache and nausea, in addition to complications related to general anesthesia.</w:t>
      </w:r>
    </w:p>
    <w:p>
      <w:pPr>
        <w:spacing w:after="0" w:line="2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Combination drug therapy is an alternative treatment for PMD that involves taking antipsychotic drugs such as olanzapine, haloperidol or chlorpromazine in combination with antidepressant medication. Patients on combination drug therapy often require three weeks or more to show improvement in their symptoms and treatment can take months to complete. Antipsychotic drugs can cause significant adverse side effects, including weight gain, diabetes, sedation, permanent movement disorders and sexual dysfunction.</w:t>
      </w:r>
    </w:p>
    <w:p>
      <w:pPr>
        <w:spacing w:after="0" w:line="4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Because a therapeutic response to ECT and combination drug therapy does not occur for several weeks, neither approach prevents lengthy and expensive hospital stays in patients who are seriously ill. Consequently, a significant need exists for a medication that provides rapid relief from the psychotic symptoms of PMD, as such a medication would substantially reduce the length of suffering associated with the illness. We believe that people suffering from PMD would prefer a treatment that did not involve the risks of anesthesia and stigma associated with ECT or the adverse side effects and slow onset of action associated with both ECT and combination drug therapy. If an alternative treatment was approved by the FDA and had secured third-party reimbursement, we believe PMD patients would choose that alternative.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the Psychotic Features of PMD</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CORLUX is an oral medication that we are developing to treat the psychotic features of PMD. CORLUX is a GR-II antagonist that appears to mitigate the effects of the elevated and abnormal release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patterns of cortisol in PMD patients. We intend CORLUX to be a once-daily treatment given to PMD patients over 7 consecutive days in a controlled setting, such as a hospital or physician’s office. Mifepristone, the active ingredient in CORLUX, blocks the progesterone receptor and has been approved by the FDA for termination of early pregnancy.</w:t>
      </w:r>
    </w:p>
    <w:p>
      <w:pPr>
        <w:spacing w:after="0" w:line="4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believe that CORLUX may significantly reduce psychotic symptoms of PMD in many patients within one week and allow patients to be more easily maintained on antidepressant therapy alone without the need for ECT or antipsychotic medication. We believe that CORLUX may be superior to currently available treatments because we believe that CORLUX will enable PMD patients to improve their quality of life more quickly and with fewer side effects than with ECT or combination drug therapy.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PMD Clinical Trials</w:t>
      </w:r>
    </w:p>
    <w:p>
      <w:pPr>
        <w:spacing w:after="0" w:line="8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Psychiatric Rating Scales</w:t>
      </w:r>
      <w:r>
        <w:rPr>
          <w:rFonts w:ascii="Arial" w:cs="Arial" w:eastAsia="Arial" w:hAnsi="Arial"/>
          <w:sz w:val="18"/>
          <w:szCs w:val="18"/>
          <w:color w:val="auto"/>
        </w:rPr>
        <w:t>. In our clinical trials, we assess the efficacy of CORLUX utilizing psychiatric rating scales commonly used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 of new antipsychotic and antidepressant medications. These scales include the:</w:t>
      </w:r>
    </w:p>
    <w:p>
      <w:pPr>
        <w:spacing w:after="0" w:line="37" w:lineRule="exact"/>
        <w:rPr>
          <w:sz w:val="20"/>
          <w:szCs w:val="20"/>
          <w:color w:val="auto"/>
        </w:rPr>
      </w:pPr>
    </w:p>
    <w:p>
      <w:pPr>
        <w:ind w:left="800" w:right="18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BPRS</w:t>
      </w:r>
      <w:r>
        <w:rPr>
          <w:rFonts w:ascii="Arial" w:cs="Arial" w:eastAsia="Arial" w:hAnsi="Arial"/>
          <w:sz w:val="18"/>
          <w:szCs w:val="18"/>
          <w:color w:val="auto"/>
        </w:rPr>
        <w:t>: The Brief Psychiatric Rating Scale is an 18-item instrument to assess psychopathology. It incorporates a range of psychiatric symptoms,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anxiety, depression, guilt, hostility and suicidality. Each of the 18 symptoms is scored on a numeric scale ranging from 1 (not present) to 7 (extremely severe).</w:t>
      </w:r>
    </w:p>
    <w:p>
      <w:pPr>
        <w:spacing w:after="0" w:line="45"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BPRS Positive Symptom Subscale</w:t>
      </w:r>
      <w:r>
        <w:rPr>
          <w:rFonts w:ascii="Arial" w:cs="Arial" w:eastAsia="Arial" w:hAnsi="Arial"/>
          <w:sz w:val="18"/>
          <w:szCs w:val="18"/>
          <w:color w:val="auto"/>
        </w:rPr>
        <w:t>: This subscale, which is based on four items of the BPRS, assesses a patient’s psychotic features by measuring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conceptual disorganization, suspiciousness, hallucinatory behavior and unusual thought content.</w:t>
      </w:r>
    </w:p>
    <w:p>
      <w:pPr>
        <w:spacing w:after="0" w:line="37" w:lineRule="exact"/>
        <w:rPr>
          <w:rFonts w:ascii="Arial" w:cs="Arial" w:eastAsia="Arial" w:hAnsi="Arial"/>
          <w:sz w:val="18"/>
          <w:szCs w:val="18"/>
          <w:color w:val="auto"/>
        </w:rPr>
      </w:pPr>
    </w:p>
    <w:p>
      <w:pPr>
        <w:ind w:left="800" w:right="12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HAM-D-21</w:t>
      </w:r>
      <w:r>
        <w:rPr>
          <w:rFonts w:ascii="Arial" w:cs="Arial" w:eastAsia="Arial" w:hAnsi="Arial"/>
          <w:sz w:val="18"/>
          <w:szCs w:val="18"/>
          <w:color w:val="auto"/>
        </w:rPr>
        <w:t>: This is a 21-item instrument designed to measure the severity of a number of depressive symptoms such as insomnia, depressed mood,</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 ability to experience pleasure, and agitation. Each question has 3 to 5 possible responses, with associated scores ranging from 0 to 4. The total score is calculated from all 21 items.</w:t>
      </w:r>
    </w:p>
    <w:p>
      <w:pPr>
        <w:spacing w:after="0" w:line="46"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i w:val="1"/>
          <w:iCs w:val="1"/>
          <w:color w:val="auto"/>
        </w:rPr>
        <w:t>Clinical Trials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have completed the following four clinical trials with CORLUX for the treatment of psychotic features of PMD:</w:t>
      </w:r>
    </w:p>
    <w:p>
      <w:pPr>
        <w:spacing w:after="0" w:line="77" w:lineRule="exact"/>
        <w:rPr>
          <w:sz w:val="20"/>
          <w:szCs w:val="20"/>
          <w:color w:val="auto"/>
        </w:rPr>
      </w:pPr>
    </w:p>
    <w:p>
      <w:pPr>
        <w:jc w:val="both"/>
        <w:ind w:left="800" w:right="360" w:hanging="346"/>
        <w:spacing w:after="0" w:line="325"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first trial was an open-label dose finding study in which we concluded that patients receiving daily doses of 600 mg or 1200 mg of CORLUX were more likely than patients receiving 50 mg of CORLUX to experience a clinically meaningful reduction in the psychotic symptoms of PMD.</w:t>
      </w:r>
    </w:p>
    <w:p>
      <w:pPr>
        <w:spacing w:after="0" w:line="1" w:lineRule="exact"/>
        <w:rPr>
          <w:rFonts w:ascii="Arial" w:cs="Arial" w:eastAsia="Arial" w:hAnsi="Arial"/>
          <w:sz w:val="16"/>
          <w:szCs w:val="16"/>
          <w:color w:val="auto"/>
        </w:rPr>
      </w:pPr>
    </w:p>
    <w:p>
      <w:pPr>
        <w:ind w:left="800" w:hanging="346"/>
        <w:spacing w:after="0" w:line="287"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second and third trials, which we call the ’02 study and ’03 study, tested a regimen of 600 mg of CORLUX dosed for 7 days. These were double-blind, placebo-controlled safety and efficacy studies in which a total of 429 patients were enrolled. The ’02 study confirmed that CORLUX was well tolerated and that there were no discernable problems with drug interactions between CORLUX and commonly prescribed antipsychotic and antidepressant medications. The ’03 study demonstrated with statistical significance (p value = 0.01) that patients in the CORLUX group were more likely to achieve a rapid and sustained reduction in psychotic symptoms than patients in the control group, as measured by a 30% reduction in the BPRS at 7 days sustained to 28 days. The term “p value” is a statistical term that indicates the probability that an observed result is random. A p value of 0.05 or less is considered statistically significant. All p values for the ‘02 study are based on an intent-to-treat analysis, which takes into account patients in the trial who received at least one dose of study medication. All p values for the ‘03 study are based on an observed cases, per protocol analysis, which takes into account only those patients who received at least 6 doses of study medication, had the BPRS assessed at day 0 and day 7 and had no major violations of the inclusion/exclusion criteria or other protocol specified criteria.</w:t>
      </w:r>
    </w:p>
    <w:p>
      <w:pPr>
        <w:spacing w:after="0" w:line="28" w:lineRule="exact"/>
        <w:rPr>
          <w:rFonts w:ascii="Arial" w:cs="Arial" w:eastAsia="Arial" w:hAnsi="Arial"/>
          <w:sz w:val="16"/>
          <w:szCs w:val="16"/>
          <w:color w:val="auto"/>
        </w:rPr>
      </w:pPr>
    </w:p>
    <w:p>
      <w:pPr>
        <w:ind w:left="800" w:right="6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our fourth trial, we evaluated the safety of retreatment in patients with a favorable response to treatment in the ’02 and ’03 studies, and our analysis indicates that patients tolerated their retreatment well.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plan to initiate two pivotal clinical trials in the United States by the end of 2004 to evaluate further the safety and efficacy of CORLUX and we expect that these studies will be concluded in the first half of 2006. These studies will be of a similar design to the ’03 study.</w:t>
      </w:r>
    </w:p>
    <w:p>
      <w:pPr>
        <w:spacing w:after="0" w:line="3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Dose Finding Study</w:t>
      </w:r>
      <w:r>
        <w:rPr>
          <w:rFonts w:ascii="Arial" w:cs="Arial" w:eastAsia="Arial" w:hAnsi="Arial"/>
          <w:sz w:val="16"/>
          <w:szCs w:val="16"/>
          <w:color w:val="auto"/>
        </w:rPr>
        <w:t>. In January 2001, we concluded our first study, which was an open-label study designed to measure clinically meaningful reductions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psychiatric rating scales. The 33 patients with psychotic depression enrolled in the study were randomly assigned to receive daily doses of 50 mg, 600 mg, or 1200 mg of CORLUX orally for 7 days. There was no placebo control group. After 7 days of treatment, clinically meaningful reductions in the psychiatric rating scales were observed for patients in the 600 mg and 1200 mg treatment groups, as summarized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600 mg and 1200 mg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6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w w:val="81"/>
              </w:rPr>
              <w:t>50 mg Dose</w:t>
            </w:r>
          </w:p>
        </w:tc>
        <w:tc>
          <w:tcPr>
            <w:tcW w:w="194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0"/>
              </w:rPr>
              <w:t>600 mg Dose</w:t>
            </w:r>
          </w:p>
        </w:tc>
        <w:tc>
          <w:tcPr>
            <w:tcW w:w="202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2"/>
              </w:rPr>
              <w:t>1200 mg Dose</w:t>
            </w: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Dose Groups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6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Group</w:t>
            </w:r>
          </w:p>
        </w:tc>
        <w:tc>
          <w:tcPr>
            <w:tcW w:w="19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Group</w:t>
            </w:r>
          </w:p>
        </w:tc>
        <w:tc>
          <w:tcPr>
            <w:tcW w:w="202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Group</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30% or greater reduction in BPRS</w:t>
            </w:r>
          </w:p>
        </w:tc>
        <w:tc>
          <w:tcPr>
            <w:tcW w:w="186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4/11 (36%)</w:t>
            </w:r>
          </w:p>
        </w:tc>
        <w:tc>
          <w:tcPr>
            <w:tcW w:w="194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7/10 (70%)</w:t>
            </w:r>
          </w:p>
        </w:tc>
        <w:tc>
          <w:tcPr>
            <w:tcW w:w="202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6/9 (67%)</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13/19 (68%)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tcPr>
          <w:p>
            <w:pPr>
              <w:spacing w:after="0" w:line="138" w:lineRule="exact"/>
              <w:rPr>
                <w:sz w:val="20"/>
                <w:szCs w:val="20"/>
                <w:color w:val="auto"/>
              </w:rPr>
            </w:pPr>
            <w:r>
              <w:rPr>
                <w:rFonts w:ascii="Arial" w:cs="Arial" w:eastAsia="Arial" w:hAnsi="Arial"/>
                <w:sz w:val="14"/>
                <w:szCs w:val="14"/>
                <w:i w:val="1"/>
                <w:iCs w:val="1"/>
                <w:color w:val="auto"/>
              </w:rPr>
              <w:t>50% or greater reduction in positive symptom subscale of</w:t>
            </w: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ind w:left="200"/>
              <w:spacing w:after="0" w:line="159" w:lineRule="exact"/>
              <w:rPr>
                <w:sz w:val="20"/>
                <w:szCs w:val="20"/>
                <w:color w:val="auto"/>
              </w:rPr>
            </w:pPr>
            <w:r>
              <w:rPr>
                <w:rFonts w:ascii="Arial" w:cs="Arial" w:eastAsia="Arial" w:hAnsi="Arial"/>
                <w:sz w:val="14"/>
                <w:szCs w:val="14"/>
                <w:i w:val="1"/>
                <w:iCs w:val="1"/>
                <w:color w:val="auto"/>
              </w:rPr>
              <w:t>BPRS</w:t>
            </w:r>
          </w:p>
        </w:tc>
        <w:tc>
          <w:tcPr>
            <w:tcW w:w="1860" w:type="dxa"/>
            <w:vAlign w:val="bottom"/>
            <w:gridSpan w:val="2"/>
          </w:tcPr>
          <w:p>
            <w:pPr>
              <w:jc w:val="right"/>
              <w:ind w:right="860"/>
              <w:spacing w:after="0" w:line="159" w:lineRule="exact"/>
              <w:rPr>
                <w:sz w:val="20"/>
                <w:szCs w:val="20"/>
                <w:color w:val="auto"/>
              </w:rPr>
            </w:pPr>
            <w:r>
              <w:rPr>
                <w:rFonts w:ascii="Arial" w:cs="Arial" w:eastAsia="Arial" w:hAnsi="Arial"/>
                <w:sz w:val="14"/>
                <w:szCs w:val="14"/>
                <w:color w:val="auto"/>
              </w:rPr>
              <w:t>3/11 (27%)</w:t>
            </w:r>
          </w:p>
        </w:tc>
        <w:tc>
          <w:tcPr>
            <w:tcW w:w="1940" w:type="dxa"/>
            <w:vAlign w:val="bottom"/>
            <w:gridSpan w:val="2"/>
          </w:tcPr>
          <w:p>
            <w:pPr>
              <w:jc w:val="right"/>
              <w:ind w:right="880"/>
              <w:spacing w:after="0" w:line="159" w:lineRule="exact"/>
              <w:rPr>
                <w:sz w:val="20"/>
                <w:szCs w:val="20"/>
                <w:color w:val="auto"/>
              </w:rPr>
            </w:pPr>
            <w:r>
              <w:rPr>
                <w:rFonts w:ascii="Arial" w:cs="Arial" w:eastAsia="Arial" w:hAnsi="Arial"/>
                <w:sz w:val="14"/>
                <w:szCs w:val="14"/>
                <w:color w:val="auto"/>
              </w:rPr>
              <w:t>6/10 (60%)</w:t>
            </w:r>
          </w:p>
        </w:tc>
        <w:tc>
          <w:tcPr>
            <w:tcW w:w="2020" w:type="dxa"/>
            <w:vAlign w:val="bottom"/>
            <w:gridSpan w:val="2"/>
          </w:tcPr>
          <w:p>
            <w:pPr>
              <w:jc w:val="right"/>
              <w:ind w:right="880"/>
              <w:spacing w:after="0" w:line="159" w:lineRule="exact"/>
              <w:rPr>
                <w:sz w:val="20"/>
                <w:szCs w:val="20"/>
                <w:color w:val="auto"/>
              </w:rPr>
            </w:pPr>
            <w:r>
              <w:rPr>
                <w:rFonts w:ascii="Arial" w:cs="Arial" w:eastAsia="Arial" w:hAnsi="Arial"/>
                <w:sz w:val="14"/>
                <w:szCs w:val="14"/>
                <w:color w:val="auto"/>
              </w:rPr>
              <w:t>6/9 (67%)</w:t>
            </w:r>
          </w:p>
        </w:tc>
        <w:tc>
          <w:tcPr>
            <w:tcW w:w="1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12/19 (63%)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50% or greater reduction in Ham-D scale</w:t>
            </w:r>
          </w:p>
        </w:tc>
        <w:tc>
          <w:tcPr>
            <w:tcW w:w="186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2/11 (18%)</w:t>
            </w:r>
          </w:p>
        </w:tc>
        <w:tc>
          <w:tcPr>
            <w:tcW w:w="194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5/10 (50%)</w:t>
            </w:r>
          </w:p>
        </w:tc>
        <w:tc>
          <w:tcPr>
            <w:tcW w:w="202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3/9 (33%)</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8/19 (42%)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Results were similar in the 600 mg and 1200 mg dose groups, but there was an apparent dose-response relationship when the results of the 50 mg group were compared to the two higher dose groups. Sixty-eight percent of patients in the higher dose groups (600 mg and 1200 mg combined) had a clinically meaningful 30% or greater reduction in the BPRS, compared to 36% in the 50 mg group. The items in the BPRS that are most specific to PMD are contained in the BPRS positive symptom subscale. Every PMD patient experiences one or more of these subscale symptoms. More than 60% of patients in the higher dosage groups had a 50% or greater reduction in the BPRS positive symptom subscale within one week of treatment. Each of the reductions in the psychiatric rating scales that the study measured is a clinically meaningful reduction in symptoms that would be readily recognized by patients, family members, physicians and hospital staff. None of the patients in the trial experienced clinically consequential side effects and none dropped out of the trial due to side effects.</w:t>
      </w:r>
    </w:p>
    <w:p>
      <w:pPr>
        <w:spacing w:after="0" w:line="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Double-blind Clinical Trials</w:t>
      </w:r>
      <w:r>
        <w:rPr>
          <w:rFonts w:ascii="Arial" w:cs="Arial" w:eastAsia="Arial" w:hAnsi="Arial"/>
          <w:sz w:val="18"/>
          <w:szCs w:val="18"/>
          <w:color w:val="auto"/>
        </w:rPr>
        <w:t>. In June and July 2001, we initiated two double-blind, randomized clinical trials, each of which was designed to enroll 200</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and to evaluate the safety and efficacy of CORLUX in patients with PMD. In each study, patients received either CORLUX or placebo. Both studies were designed and powered to test the hypothesis that the group of patients treated with CORLUX would be superior to the control group in achieving a rapid (within 7 days) and sustained (to 28 days) reduction in their BPRS score of at least 30%.</w:t>
      </w:r>
    </w:p>
    <w:p>
      <w:pPr>
        <w:spacing w:after="0" w:line="4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two studies were identical in design except for one of the key entry criteria. Patients enrolled in the ’02 study were allowed to receive any antipsychotic or antidepressant medications deemed appropriate by their treating physicians prior to entry into the study and throughout the week of administration of the study drugs, CORLUX or placebo. Therefore, in the ’02 study, patients received their usual treatment plus CORLUX or placebo. In the ’03 study, patients were not allowed to receive any antipsychotic or antidepressant medication for at least 7 days prior to administration of the study drug or during the week of study drug administration. All patients enrolled in the studies were treated in the hospital. After day 7, while the studies remained blinded, each treating physician was allowed to add any additional treatment, including ECT or antipsychotic, antidepressant or other psychotropic medications.</w:t>
      </w:r>
    </w:p>
    <w:p>
      <w:pPr>
        <w:spacing w:after="0" w:line="2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’02 Study</w:t>
      </w:r>
      <w:r>
        <w:rPr>
          <w:rFonts w:ascii="Arial" w:cs="Arial" w:eastAsia="Arial" w:hAnsi="Arial"/>
          <w:sz w:val="16"/>
          <w:szCs w:val="16"/>
          <w:color w:val="auto"/>
        </w:rPr>
        <w:t>. The results of the ’02 study indicated that CORLUX was well tolerated and that there were no discernable problems with drug interactions</w:t>
      </w:r>
      <w:r>
        <w:rPr>
          <w:rFonts w:ascii="Arial" w:cs="Arial" w:eastAsia="Arial" w:hAnsi="Arial"/>
          <w:sz w:val="16"/>
          <w:szCs w:val="16"/>
          <w:i w:val="1"/>
          <w:iCs w:val="1"/>
          <w:color w:val="auto"/>
        </w:rPr>
        <w:t xml:space="preserve"> </w:t>
      </w:r>
      <w:r>
        <w:rPr>
          <w:rFonts w:ascii="Arial" w:cs="Arial" w:eastAsia="Arial" w:hAnsi="Arial"/>
          <w:sz w:val="16"/>
          <w:szCs w:val="16"/>
          <w:color w:val="auto"/>
        </w:rPr>
        <w:t>when CORLUX was taken in combination with other antipsychotic or antidepressant medications. The median number of psychotropic medications that patients in the ’02 study were receiving in addition to CORLUX was four. Although patients in the usual treatment plus CORLUX group more frequently achieved the study’s primary endpoint, a rapid and sustained reduction in psychotic symptoms as measured by a 30% decline in the BPRS at day 7 sustained to day 28, than did patients in the usual treatment plus placebo group, the difference between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groups was not statistically significant. The study did demonstrate with statistical significance (p value = 0.02) that the usual treatment plus placebo group required ECT or more antipsychotic medication between day 7 and day 28 and was less likely to be discharged from the hospital during the week of dosing (p value = 0.05) relative to the usual treatment plus CORLUX group. Post-hoc analysis of the ’02 study data further revealed that patients in the usual treatment plus CORLUX group were more likely than patients in the usual treatment plus placebo group to achieve a rapid and sustained asymptomatic condition, as measured by a BPRS score of 25 or less. Although the number of patients achieving this result was very small, the difference between the usual treatment plus CORLUX group and the usual treatment plus placebo group was statistically significant (p value = 0.01).</w:t>
      </w:r>
    </w:p>
    <w:p>
      <w:pPr>
        <w:spacing w:after="0" w:line="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’03 Study</w:t>
      </w:r>
      <w:r>
        <w:rPr>
          <w:rFonts w:ascii="Arial" w:cs="Arial" w:eastAsia="Arial" w:hAnsi="Arial"/>
          <w:sz w:val="16"/>
          <w:szCs w:val="16"/>
          <w:color w:val="auto"/>
        </w:rPr>
        <w:t>. The results of the ’03 study indicated that CORLUX was well tolerated as demonstrated by the finding that there was no statistically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difference in adverse events observed between the CORLUX group and the placebo group. The ’03 study also demonstrated with statistical significance (p value = 0.01) that patients who received CORLUX were more likely than patients who received placebo to achieve a rapid and sustained reduction in psychosis as measured by the study’s original primary endpoint, a 30% reduction in the BPRS at day 7 sustained to day 28. The ’03 study also showed with statistical significance (p value = 0.01) that patients in the CORLUX group were more likely than patients in the placebo group to achieve a 50% reduction in the BPRS positive symptom subscale at day 7 sustained to day 28. In addition, patients in the placebo group were more likely than patients in the CORLUX group to receive antipsychotic medication between day 7 and day 28, although this difference was not statistically significant.</w:t>
      </w:r>
    </w:p>
    <w:p>
      <w:pPr>
        <w:spacing w:after="0" w:line="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do not intend to rely on the ’03 study as one of our required pivotal clinical trials in support of an application to market CORLUX for the treatment of the psychotic features of PMD because we indicated to the FDA shortly before the study concluded that we would use as our primary endpoint for the study the number of patients who became asymptomatic as measured by the BPRS, a differentiating characteristic that we had noted in post-hoc ’02 study analysis. In the ’03 study, as in the ’02 study, only a very small number of patients became asymptomatic and, in the ’03 study, there was no statistically significant difference between the CORLUX and placebo groups.</w:t>
      </w:r>
    </w:p>
    <w:p>
      <w:pPr>
        <w:spacing w:after="0" w:line="4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Of the approximately 480 patients who have been enrolled in our studies completed to date, over 240 individuals have been treated with CORLUX. The drug seemed to be well tolerated by these patients, with a low incidence of adverse events. In the ’02 and ’03 studies, the most commonly reported adverse events were headache, dizziness, nausea and sedation. The incidence of these adverse events was similar in the control and CORLUX groups. In the ’02 study, rash was the only adverse event where there was a statistically significant difference (p value = 0.05) between groups: 4% occurrence in the CORLUX group compared to no occurrences in the control group. In the ’03 study, there was no statistically significant difference in the occurrence of any adverse event.</w:t>
      </w:r>
    </w:p>
    <w:p>
      <w:pPr>
        <w:spacing w:after="0" w:line="21" w:lineRule="exact"/>
        <w:rPr>
          <w:sz w:val="20"/>
          <w:szCs w:val="20"/>
          <w:color w:val="auto"/>
        </w:rPr>
      </w:pPr>
    </w:p>
    <w:p>
      <w:pPr>
        <w:ind w:right="120" w:firstLine="456"/>
        <w:spacing w:after="0" w:line="325" w:lineRule="auto"/>
        <w:rPr>
          <w:sz w:val="20"/>
          <w:szCs w:val="20"/>
          <w:color w:val="auto"/>
        </w:rPr>
      </w:pPr>
      <w:r>
        <w:rPr>
          <w:rFonts w:ascii="Arial" w:cs="Arial" w:eastAsia="Arial" w:hAnsi="Arial"/>
          <w:sz w:val="16"/>
          <w:szCs w:val="16"/>
          <w:color w:val="auto"/>
        </w:rPr>
        <w:t>We have also conducted a small open label study to evaluate the safety of retreatment in patients who had a favorable response to treatment in the ’02 and ’03 studies. Twenty-eight patients completed the study. Our analysis indicates that patients tolerated their retreatment well.</w:t>
      </w:r>
    </w:p>
    <w:p>
      <w:pPr>
        <w:spacing w:after="0" w:line="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Pivotal Clinical Trials</w:t>
      </w:r>
      <w:r>
        <w:rPr>
          <w:rFonts w:ascii="Arial" w:cs="Arial" w:eastAsia="Arial" w:hAnsi="Arial"/>
          <w:sz w:val="18"/>
          <w:szCs w:val="18"/>
          <w:color w:val="auto"/>
        </w:rPr>
        <w:t>. We plan to initiate two randomized, double-blind, placebo-controlled studies in the United States to further assess the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CORLUX for the treatment of the psychotic features of PMD. These studies will be of a similar design to the ’03 study. In March 2004, we submitted protocols for our two pivotal clinical studies to the FDA for a special protocol assessment.</w:t>
      </w:r>
    </w:p>
    <w:p>
      <w:pPr>
        <w:spacing w:after="0" w:line="4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Under the FDA’s special protocol assessment procedures, the FDA will evaluate within 45 days certain protocols to assess whether they are adequate to meet scientific and regulatory requirements necessary to support an approval. We believe that obtaining the FDA’s input on the details of the protocol design before starting this study will provide valuable guidance for the efficacy demonstration needed for our CORLUX NDA filing.</w:t>
      </w:r>
    </w:p>
    <w:p>
      <w:pPr>
        <w:spacing w:after="0" w:line="1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Given the serious nature of PMD, the lack of approved drugs for the disorder and the data from our first clinical trial, the FDA has granted a fast track designation for CORLUX for the treatment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psychotic features of PMD. In addition, the FDA has indicated that CORLUX will receive a priority review if no other treatment is approved for PMD at the time we submit our NDA.</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Additional Trials and Studies</w:t>
      </w:r>
      <w:r>
        <w:rPr>
          <w:rFonts w:ascii="Arial" w:cs="Arial" w:eastAsia="Arial" w:hAnsi="Arial"/>
          <w:sz w:val="18"/>
          <w:szCs w:val="18"/>
          <w:color w:val="auto"/>
        </w:rPr>
        <w:t>. In support of our NDA submission, concurrently with our pivotal clinical trials, we plan to conduct a retreatment trial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retreatment of patients with CORLUX, an open label safety trial that will include 300 to 500 patients and several small trials to evaluate how the human body processes CORLUX. We also plan to conduct a large, double-blind, placebo-controlled clinical trial outside the United States which we may also use as a pivotal clinical trial. In addition to our clinical trials, we plan to conduct a standard 12-month toxicology study and two carcinogenicity studies to meet FDA requirements and the guidelines of an international regulatory body called the International Conference on Harmonisation of Technical Requirements for Registration of Pharmaceuticals for Human Use.</w:t>
      </w:r>
    </w:p>
    <w:p>
      <w:pPr>
        <w:spacing w:after="0" w:line="5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i w:val="1"/>
          <w:iCs w:val="1"/>
          <w:color w:val="auto"/>
        </w:rPr>
        <w:t>Clinical Trial Agreement</w:t>
      </w:r>
      <w:r>
        <w:rPr>
          <w:rFonts w:ascii="Arial" w:cs="Arial" w:eastAsia="Arial" w:hAnsi="Arial"/>
          <w:sz w:val="18"/>
          <w:szCs w:val="18"/>
          <w:color w:val="auto"/>
        </w:rPr>
        <w:t>s. We have clinical development agreements with Scirex Corporation and PPD Development, LP, under which Scirex and PPD,</w:t>
      </w:r>
      <w:r>
        <w:rPr>
          <w:rFonts w:ascii="Arial" w:cs="Arial" w:eastAsia="Arial" w:hAnsi="Arial"/>
          <w:sz w:val="18"/>
          <w:szCs w:val="18"/>
          <w:i w:val="1"/>
          <w:iCs w:val="1"/>
          <w:color w:val="auto"/>
        </w:rPr>
        <w:t xml:space="preserve"> </w:t>
      </w:r>
      <w:r>
        <w:rPr>
          <w:rFonts w:ascii="Arial" w:cs="Arial" w:eastAsia="Arial" w:hAnsi="Arial"/>
          <w:sz w:val="18"/>
          <w:szCs w:val="18"/>
          <w:color w:val="auto"/>
        </w:rPr>
        <w:t>at our request, oversee clinical trials at various institutions to test the safety and efficacy of CORLUX for the psychotic features of PMD. These agreements may be terminated by us at any time upon thirty days’ written notice. We expect that these organizations will work with us to conduct our pivotal clinical trials of CORLUX.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Alzheimer’s Disease</w:t>
      </w:r>
    </w:p>
    <w:p>
      <w:pPr>
        <w:spacing w:after="0" w:line="83" w:lineRule="exact"/>
        <w:rPr>
          <w:sz w:val="20"/>
          <w:szCs w:val="20"/>
          <w:color w:val="auto"/>
        </w:rPr>
      </w:pPr>
    </w:p>
    <w:p>
      <w:pPr>
        <w:ind w:right="460" w:firstLine="456"/>
        <w:spacing w:after="0" w:line="325" w:lineRule="auto"/>
        <w:rPr>
          <w:sz w:val="20"/>
          <w:szCs w:val="20"/>
          <w:color w:val="auto"/>
        </w:rPr>
      </w:pPr>
      <w:r>
        <w:rPr>
          <w:rFonts w:ascii="Arial" w:cs="Arial" w:eastAsia="Arial" w:hAnsi="Arial"/>
          <w:sz w:val="16"/>
          <w:szCs w:val="16"/>
          <w:color w:val="auto"/>
        </w:rPr>
        <w:t>In addition to our development program for CORLUX for the psychotic features of PMD, we have initiated a clinical study to evaluate the safety and efficacy of CORLUX in patients with mild to moderate Alzheimer’s disease because we believe that CORLUX may improve cognition in these patients.</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current treatment can change the ultimate course of Alzheimer’s disease, a disease that affects more than 3.5 million people in the United States. For some people in the early and middle stages of the disease, medications that inhibit acetylcholinesterase, an enzyme that breaks down a particular neurotransmitter, may help slow the decline in cognition for a limited time. In clinical trials with acetylcholinesterase inhibitors, the reduction in the rate of decline as measured by standard scales was modest, with many patients showing no improvement at all.</w:t>
      </w:r>
    </w:p>
    <w:p>
      <w:pPr>
        <w:spacing w:after="0" w:line="4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addition to the acetylcholinesterase inhibitors, the compound memantine has also been approved for the treatment of Alzheimer’s disease. Memantine studies have shown small but statistically significant benefits in patients with more severe or advanced Alzheimer’s disease. However, reports of recent studies indicate that memantine may not be of benefit in patients with milder forms of the illness who are also taking acetylcholinesterase inhibitors.</w:t>
      </w:r>
    </w:p>
    <w:p>
      <w:pPr>
        <w:spacing w:after="0" w:line="1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Also, a variety of medications are used to help control behavioral symptoms associated with Alzheimer’s disease, such as agitation. Antipsychotics are frequently used for treating agitation. Anticonvulsants or mood stabilizers are often prescribed for hostility or aggression and anxiolytics are prescribed for anxiety, restlessness and verbally disruptive behavior.</w:t>
      </w:r>
    </w:p>
    <w:p>
      <w:pPr>
        <w:spacing w:after="0" w:line="4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Current treatments have a modest effect and only slow the decline in cognition for a short period of time. Therefore, there is a need for new therapies that could enhance cognition and improve behavioral problems in Alzheimer’s patients.</w:t>
      </w:r>
    </w:p>
    <w:p>
      <w:pPr>
        <w:spacing w:after="0" w:line="118"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Published studies have suggested that higher cortisol levels are associated with more rapid decline in Alzheimer’s patients. For example, several studies suggest that among individuals with early-stage Alzheimer’s disease, higher baseline cortisol was associated with a significantly greater rate of decline in cognitive function based on standardized measurements of cognition. Also, a small clinical study evaluated the use of mifepristone in patients with mild to moderate Alzheimer’s disease and indicated that patients treated with mifepristone for six weeks had improved scores on a standard cognition scale, whereas patients taking placebo worsened.</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CORLUX Clinical Trial</w:t>
      </w:r>
      <w:r>
        <w:rPr>
          <w:rFonts w:ascii="Arial" w:cs="Arial" w:eastAsia="Arial" w:hAnsi="Arial"/>
          <w:sz w:val="18"/>
          <w:szCs w:val="18"/>
          <w:color w:val="auto"/>
        </w:rPr>
        <w:t>. We are conducting a clinical trial designed to demonstrate the safety of CORLUX and whether or not CORLUX will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cognition in Alzheimer’s patients.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study is a randomized, double-blind, parallel group comparison of the effects of CORLUX and placebo. The trial assesses the effects of CORLUX on cognition and behavior when administered daily over a period of 16 weeks. Because a diagnosis of Alzheimer’s disease is required for participation in the trial and acetylcholinesterase inhibitors are currently standard treatment for this condition, patients in the trial are required to be on a stable regimen of an acetylcholinesterase inhibitor for at least 12 weeks before enrolling in the trial.</w:t>
      </w:r>
    </w:p>
    <w:p>
      <w:pPr>
        <w:spacing w:after="0" w:line="4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trial’s primary efficacy measure will be the ADAS-Cog, which assesses a patient’s cognitive capabilities. The ADAS-Cog is a battery of individual tests relating to recall, naming, commands, orientation, word recognition, spoken language and comprehension and word finding, among other cognitive functions. In clinical trials, the ADAS-Cog has been used to measure the cognitive and neuropsychological effects of treatment.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study is designed to enroll up to 160 patients. As of March 31, 2004, 34 patients have been entered into the study.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GR-II Antagonist Platform</w:t>
      </w:r>
    </w:p>
    <w:p>
      <w:pPr>
        <w:spacing w:after="0" w:line="83"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color w:val="auto"/>
        </w:rPr>
        <w:t>We have assembled a patent portfolio covering the treatment of psychiatric and neurological disorders that may benefit from drugs that block the GR-II receptor. In addition to PMD, we own or have exclusively licensed issued patents for the use of GR-II antagonists to treat:</w:t>
      </w:r>
    </w:p>
    <w:p>
      <w:pPr>
        <w:spacing w:after="0" w:line="1"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early dementia, including early Alzheimer’s disease;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mild cognitive impairment;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psychosis associated with cocaine addiction;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weight gain following treatment with antipsychotic medication.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cortisol plays a role in a variety of other diseases. We have nine pending U.S. method of use patent applications covering GR-II antagonists for the treatment of various diseases.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Research</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early 2002, we initiated a discovery research program to identify and patent more selective GR-II antagonists in order to develop a pipeline of products for use in our growing number of proprietary uses. Our discovery chemistry is being conducted on our behalf at a contract research organization in the United Kingdom. Through the research program, we have identified, and filed patent applications for, two series of GR-II antagonists that, unlike CORLUX, do not block the progesterone receptor and only block the GR-II receptor. These compounds bind to the GR-II receptor with a potency similar to that of CORLUX.</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objective is to develop and commercialize drugs that address severe psychiatric and neurological diseases for which there is a significant unmet clinical need. We are pursuing the following strategies to achieve this objective:</w:t>
      </w:r>
    </w:p>
    <w:p>
      <w:pPr>
        <w:spacing w:after="0" w:line="37" w:lineRule="exact"/>
        <w:rPr>
          <w:sz w:val="20"/>
          <w:szCs w:val="20"/>
          <w:color w:val="auto"/>
        </w:rPr>
      </w:pPr>
    </w:p>
    <w:p>
      <w:pPr>
        <w:ind w:left="800" w:right="60" w:hanging="346"/>
        <w:spacing w:after="0" w:line="298"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Rapidly develop and commercialize CORLUX for the psychotic features of PMD</w:t>
      </w:r>
      <w:r>
        <w:rPr>
          <w:rFonts w:ascii="Arial" w:cs="Arial" w:eastAsia="Arial" w:hAnsi="Arial"/>
          <w:sz w:val="16"/>
          <w:szCs w:val="16"/>
          <w:color w:val="auto"/>
        </w:rPr>
        <w:t>. We are conducting a clinical program to enable an NDA</w:t>
      </w:r>
      <w:r>
        <w:rPr>
          <w:rFonts w:ascii="Arial" w:cs="Arial" w:eastAsia="Arial" w:hAnsi="Arial"/>
          <w:sz w:val="16"/>
          <w:szCs w:val="16"/>
          <w:i w:val="1"/>
          <w:iCs w:val="1"/>
          <w:color w:val="auto"/>
        </w:rPr>
        <w:t xml:space="preserve"> </w:t>
      </w:r>
      <w:r>
        <w:rPr>
          <w:rFonts w:ascii="Arial" w:cs="Arial" w:eastAsia="Arial" w:hAnsi="Arial"/>
          <w:sz w:val="16"/>
          <w:szCs w:val="16"/>
          <w:color w:val="auto"/>
        </w:rPr>
        <w:t>submission as quickly as possible. The FDA has granted a fast track designation for CORLUX for the treatment of the psychotic features of PMD because of the lack of approved drugs for this serious disorder and our favorable preliminary clinical data. The FDA has also indicated that CORLUX will receive a priority review if no other treatment has been approved for PMD at the time we submit our NDA.</w:t>
      </w:r>
    </w:p>
    <w:p>
      <w:pPr>
        <w:spacing w:after="0" w:line="18"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Directly market CORLUX in the United States</w:t>
      </w:r>
      <w:r>
        <w:rPr>
          <w:rFonts w:ascii="Arial" w:cs="Arial" w:eastAsia="Arial" w:hAnsi="Arial"/>
          <w:sz w:val="18"/>
          <w:szCs w:val="18"/>
          <w:color w:val="auto"/>
        </w:rPr>
        <w:t>. We initially intend to market and sell CORLUX in the United States directly to hospitals with large</w:t>
      </w:r>
      <w:r>
        <w:rPr>
          <w:rFonts w:ascii="Arial" w:cs="Arial" w:eastAsia="Arial" w:hAnsi="Arial"/>
          <w:sz w:val="18"/>
          <w:szCs w:val="18"/>
          <w:i w:val="1"/>
          <w:iCs w:val="1"/>
          <w:color w:val="auto"/>
        </w:rPr>
        <w:t xml:space="preserve"> </w:t>
      </w:r>
      <w:r>
        <w:rPr>
          <w:rFonts w:ascii="Arial" w:cs="Arial" w:eastAsia="Arial" w:hAnsi="Arial"/>
          <w:sz w:val="18"/>
          <w:szCs w:val="18"/>
          <w:color w:val="auto"/>
        </w:rPr>
        <w:t>in-patient psychiatric units, first focusing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spacing w:after="0" w:line="268" w:lineRule="auto"/>
        <w:rPr>
          <w:sz w:val="20"/>
          <w:szCs w:val="20"/>
          <w:color w:val="auto"/>
        </w:rPr>
      </w:pPr>
      <w:r>
        <w:rPr>
          <w:rFonts w:ascii="Arial" w:cs="Arial" w:eastAsia="Arial" w:hAnsi="Arial"/>
          <w:sz w:val="18"/>
          <w:szCs w:val="18"/>
          <w:color w:val="auto"/>
        </w:rPr>
        <w:t>those approximately 300 centers that use ECT. Given the concentrated nature of the initial target audience, we believe that we will be able to generate significant revenue with a relatively small, highly-focused sales and marketing team.</w:t>
      </w:r>
    </w:p>
    <w:p>
      <w:pPr>
        <w:spacing w:after="0" w:line="51" w:lineRule="exact"/>
        <w:rPr>
          <w:sz w:val="20"/>
          <w:szCs w:val="20"/>
          <w:color w:val="auto"/>
        </w:rPr>
      </w:pPr>
    </w:p>
    <w:p>
      <w:pPr>
        <w:ind w:left="800" w:right="2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Determine whether CORLUX improves cognition in Alzheimer’s patients. </w:t>
      </w:r>
      <w:r>
        <w:rPr>
          <w:rFonts w:ascii="Arial" w:cs="Arial" w:eastAsia="Arial" w:hAnsi="Arial"/>
          <w:sz w:val="18"/>
          <w:szCs w:val="18"/>
          <w:color w:val="auto"/>
        </w:rPr>
        <w:t>We are conducting a clinical trial to test our hypothesis that CORLUX</w:t>
      </w:r>
      <w:r>
        <w:rPr>
          <w:rFonts w:ascii="Arial" w:cs="Arial" w:eastAsia="Arial" w:hAnsi="Arial"/>
          <w:sz w:val="18"/>
          <w:szCs w:val="18"/>
          <w:i w:val="1"/>
          <w:iCs w:val="1"/>
          <w:color w:val="auto"/>
        </w:rPr>
        <w:t xml:space="preserve"> </w:t>
      </w:r>
      <w:r>
        <w:rPr>
          <w:rFonts w:ascii="Arial" w:cs="Arial" w:eastAsia="Arial" w:hAnsi="Arial"/>
          <w:sz w:val="18"/>
          <w:szCs w:val="18"/>
          <w:color w:val="auto"/>
        </w:rPr>
        <w:t>improves cognition in patients with mild to moderate Alzheimer’s disease. If the results of the trial are favorable, we intend to expand our Alzheimer’s development program with CORLUX or another GR-II antagonist.</w:t>
      </w:r>
    </w:p>
    <w:p>
      <w:pPr>
        <w:spacing w:after="0" w:line="45" w:lineRule="exact"/>
        <w:rPr>
          <w:rFonts w:ascii="Arial" w:cs="Arial" w:eastAsia="Arial" w:hAnsi="Arial"/>
          <w:sz w:val="18"/>
          <w:szCs w:val="18"/>
          <w:color w:val="auto"/>
        </w:rPr>
      </w:pPr>
    </w:p>
    <w:p>
      <w:pPr>
        <w:ind w:left="800" w:right="8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Build a portfolio of GR-II receptor antagonists</w:t>
      </w:r>
      <w:r>
        <w:rPr>
          <w:rFonts w:ascii="Arial" w:cs="Arial" w:eastAsia="Arial" w:hAnsi="Arial"/>
          <w:sz w:val="18"/>
          <w:szCs w:val="18"/>
          <w:color w:val="auto"/>
        </w:rPr>
        <w:t>. We have identified, and filed patent applications relating to, additional GR-II antagonist compounds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selective for GR-II and as potent as CORLUX. We intend to develop these for the treatment of diseases for which therapy is unavailable or substandard and the market opportunity is large.</w:t>
      </w:r>
    </w:p>
    <w:p>
      <w:pPr>
        <w:spacing w:after="0" w:line="45"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Acquire or in-license additional products</w:t>
      </w:r>
      <w:r>
        <w:rPr>
          <w:rFonts w:ascii="Arial" w:cs="Arial" w:eastAsia="Arial" w:hAnsi="Arial"/>
          <w:sz w:val="18"/>
          <w:szCs w:val="18"/>
          <w:color w:val="auto"/>
        </w:rPr>
        <w:t>. In addition to our in-house development efforts, we plan to acquire or in-license hospital-based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more fully utilize our internal product development and sales and marketing organizations.</w:t>
      </w:r>
    </w:p>
    <w:p>
      <w:pPr>
        <w:spacing w:after="0" w:line="37" w:lineRule="exact"/>
        <w:rPr>
          <w:rFonts w:ascii="Arial" w:cs="Arial" w:eastAsia="Arial" w:hAnsi="Arial"/>
          <w:sz w:val="18"/>
          <w:szCs w:val="18"/>
          <w:color w:val="auto"/>
        </w:rPr>
      </w:pPr>
    </w:p>
    <w:p>
      <w:pPr>
        <w:ind w:left="800" w:right="160" w:hanging="346"/>
        <w:spacing w:after="0" w:line="294"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Employ an experienced team with a proven track record in developing and commercializing pharmaceuticals</w:t>
      </w:r>
      <w:r>
        <w:rPr>
          <w:rFonts w:ascii="Arial" w:cs="Arial" w:eastAsia="Arial" w:hAnsi="Arial"/>
          <w:sz w:val="16"/>
          <w:szCs w:val="16"/>
          <w:color w:val="auto"/>
        </w:rPr>
        <w:t>. We expect to continue managing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through product commercialization with a relatively small group of executives with an extensive history of success in the development and commercialization of new drugs. We believe that our expert consultants and third-party relationships in research, clinical trial management and manufacturing, along with the relatively small sales force we intend to form to support our initial sales and marketing effort, will help us minimize costs and accelerate the timing of our product development and commercialization efforts.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develop our own sales and marketing infrastructure in the United States to commercialize CORLUX because we believe that the initial market for PMD in the United States is highly concentrated and accessible. We anticipate hiring a small, experienced sales force of approximately 25 to 35. We intend to focus initially on patients who are candidates for ECT by marketing to hospitals and psychiatrists that perform ECT. We estimate that there are approximately 900 hospitals with more than 30 in-patient psychiatric beds. Of these, we estimate that approximately 300 offer ECT. We believe that approximately 1000 psychiatrists administer a majority of ECT procedures. Subsequently, we also intend to expand our sales efforts to address the larger set of PMD patients currently undergoing combination drug therapy, which would require an increase in the size of our initial sales force.</w:t>
      </w:r>
    </w:p>
    <w:p>
      <w:pPr>
        <w:spacing w:after="0" w:line="2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believe that a significant opportunity exists to further expand the market for the treatment of the psychotic features of PMD beyond patients currently treated by ECT and combination drug therapy. A large portion of the people who suffer from PMD remain unrecognized and undertreated. We intend to develop medical educational programs to alert the medical community about early diagnosis of PMD and increase awareness regarding CORLUX.</w:t>
      </w:r>
    </w:p>
    <w:p>
      <w:pPr>
        <w:spacing w:after="0" w:line="1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currently have no sales and marketing staff. To achieve commercial success for any approved product, we must either develop a sales and marketing force or enter into arrangements with others to market and sell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a drug development entity, we intend to continue to utilize our financial resources to accelerate the development of CORLUX and other products rather than diverting resources to establishing our own manufacturing facilities.</w:t>
      </w:r>
    </w:p>
    <w:p>
      <w:pPr>
        <w:spacing w:after="0" w:line="3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intend to continue to rely on experienced contract manufacturers to produce our products. We have entered into a manufacturing agreement with a contract manufacturer, ScinoPharm Taiwan,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produce the active pharmaceutical ingredient, or API, for CORLUX. This agreement obligates us to purchase at least $1,000,000 of bulk mifepristone per year following the commercial launch of CORLUX. This agreement is terminable by either party at any time. Although we do not currently have a second supplier of API, we have completed feasibility studies with a second contract manufacturer. Our existing API manufacturer and the second possible API manufacturer we have identified both obtain the raw material they use to produce mifepristone from the same single source supplier. We have entered into a separate agreement with another contract manufacturer, KP Pharmaceutical Technology, Inc., to produce CORLUX tablets for us. This agreement also requires us to invest in start-up costs and is terminable by the contract manufacturer only upon a breach of any of our material obligations. This agreement is effective through February 2005, unless terminated earlier for cause, but may be extended by mutual agreement of the parties. The tablet manufacturer is a single source supplier to us. In the event we are unable, for whatever reason, to obtain mifepristone or CORLUX from our contract manufacturers, we may not be able to identify alternate manufacturers able to meet our needs on commercially reasonable terms and in a timely manner, or at all. Our need for CORLUX tablets has been limited to the amounts required to support our clinical trials. KP Pharmaceutical has met our small quantity requirements to date. As we prepare for commercialization, we plan to develop a relationship with a second tablet manufacturer and will include both manufacturers in our NDA. We believe there are numerous qualified contract pharmaceutical manufacturing organizations in North America.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approved for commercial use as a treatment for the psychotic features of PMD, CORLUX will compete with established treatments, including ECT and combination drug therapy.</w:t>
      </w:r>
    </w:p>
    <w:p>
      <w:pPr>
        <w:spacing w:after="0" w:line="3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ECT has been shown to be the most effective treatment for PMD, despite the risks of anesthesia and the adverse effects and stigma associated with the procedure. Use of CORLUX does not require anesthesia and, in our clinical trials conducted to date, patients treated with CORLUX have not exhibited the adverse effects associated with ECT.</w:t>
      </w:r>
    </w:p>
    <w:p>
      <w:pPr>
        <w:spacing w:after="0" w:line="4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competitors will be companies that market antipsychotic drugs that are used off-label as part of combination drug therapy for PMD. To reduce the psychotic features of PMD, these drugs generally are taken in combination with antidepressant medication over a period of weeks to several months. Unlike the use of CORLUX, this extended course of treatment may put patients at risk of significant adverse side effects, including weight gain, diabetes, sedation, permanent movement disorders and sexual dysfunction. Antipsychotics include Bristol-Myers Squibb’s Abilify, Novartis’ Clozaril, Pfizer’s Geodon and Navane, Ortho-McNeil’s Haldol, Janssen Pharmaceutica’s Risperdal, AstraZeneca’s Seroquel, GlaxoSmithKline’s Stelazine and Thorazine, Mylan’s thioridazine, Schering Corporation’s Trilafon and Eli Lilly’s Zyprexa.</w:t>
      </w:r>
    </w:p>
    <w:p>
      <w:pPr>
        <w:spacing w:after="0" w:line="5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While we are unaware of any other ongoing clinical trials, other companies may be developing new drug products to treat PMD and the other conditions we are exploring. Our present and potential competitors include major pharmaceutical companies, as well as specialized pharmaceutical firms. Most of our competitors have considerably greater financial, technical and marketing resources than we do. We expect competition to intensify as technical advances are made.</w:t>
      </w:r>
    </w:p>
    <w:p>
      <w:pPr>
        <w:spacing w:after="0" w:line="4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Many colleges, universities and public and private research organizations are also active in the human health care field. While these entities focus on education, they may develop or acquire proprietary technology that we may require for the development of our products. We may attempt to obtain licenses to this proprietary technology.</w:t>
      </w:r>
    </w:p>
    <w:p>
      <w:pPr>
        <w:spacing w:after="0" w:line="4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ability to compete successfully will be based on our ability to develop proprietary products, attract and retain scientific personnel, obtain patent or other protection for our products, obtain required regulatory approvals and manufacture and successfully market our products either alone or through outside parties.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Patents and other proprietary rights are important to our business. It is our policy to seek patent protection for our inventions, and to rely upon trade secrets, know-how, continuing technological innovations and licensing opportunities to develop and maintain our competitive position.</w:t>
      </w:r>
    </w:p>
    <w:p>
      <w:pPr>
        <w:spacing w:after="0" w:line="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Under an agreement with Stanford University, we have licensed exclusive rights to the following issued U.S. patents and any corresponding foreign patents: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8"/>
              </w:rPr>
              <w:t>U.S. Patent Number</w:t>
            </w:r>
          </w:p>
        </w:tc>
        <w:tc>
          <w:tcPr>
            <w:tcW w:w="420" w:type="dxa"/>
            <w:vAlign w:val="bottom"/>
          </w:tcPr>
          <w:p>
            <w:pPr>
              <w:spacing w:after="0"/>
              <w:rPr>
                <w:sz w:val="15"/>
                <w:szCs w:val="15"/>
                <w:color w:val="auto"/>
              </w:rPr>
            </w:pPr>
          </w:p>
        </w:tc>
        <w:tc>
          <w:tcPr>
            <w:tcW w:w="5340" w:type="dxa"/>
            <w:vAlign w:val="bottom"/>
          </w:tcPr>
          <w:p>
            <w:pPr>
              <w:ind w:left="2220"/>
              <w:spacing w:after="0"/>
              <w:rPr>
                <w:sz w:val="20"/>
                <w:szCs w:val="20"/>
                <w:color w:val="auto"/>
              </w:rPr>
            </w:pPr>
            <w:r>
              <w:rPr>
                <w:rFonts w:ascii="Arial" w:cs="Arial" w:eastAsia="Arial" w:hAnsi="Arial"/>
                <w:sz w:val="14"/>
                <w:szCs w:val="14"/>
                <w:b w:val="1"/>
                <w:bCs w:val="1"/>
                <w:color w:val="auto"/>
              </w:rPr>
              <w:t>Subject Matter</w:t>
            </w:r>
          </w:p>
        </w:tc>
        <w:tc>
          <w:tcPr>
            <w:tcW w:w="4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Expiration Date</w:t>
            </w:r>
          </w:p>
        </w:tc>
      </w:tr>
      <w:tr>
        <w:trPr>
          <w:trHeight w:val="95"/>
        </w:trPr>
        <w:tc>
          <w:tcPr>
            <w:tcW w:w="2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r>
      <w:tr>
        <w:trPr>
          <w:trHeight w:val="102"/>
        </w:trPr>
        <w:tc>
          <w:tcPr>
            <w:tcW w:w="2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216"/>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U.S. Pat. No. 6,150,349</w:t>
            </w: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Use of GR-II antagonists in the treatment of PMD</w:t>
            </w: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5, 2018</w:t>
            </w:r>
          </w:p>
        </w:tc>
      </w:tr>
      <w:tr>
        <w:trPr>
          <w:trHeight w:val="275"/>
        </w:trPr>
        <w:tc>
          <w:tcPr>
            <w:tcW w:w="2480" w:type="dxa"/>
            <w:vAlign w:val="bottom"/>
          </w:tcPr>
          <w:p>
            <w:pPr>
              <w:jc w:val="center"/>
              <w:spacing w:after="0"/>
              <w:rPr>
                <w:sz w:val="20"/>
                <w:szCs w:val="20"/>
                <w:color w:val="auto"/>
              </w:rPr>
            </w:pPr>
            <w:r>
              <w:rPr>
                <w:rFonts w:ascii="Arial" w:cs="Arial" w:eastAsia="Arial" w:hAnsi="Arial"/>
                <w:sz w:val="18"/>
                <w:szCs w:val="18"/>
                <w:color w:val="auto"/>
                <w:w w:val="88"/>
              </w:rPr>
              <w:t>U.S. Pat. No. 6,369,046</w:t>
            </w: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w w:val="89"/>
              </w:rPr>
              <w:t>Use of GR-II antagonists in the treatment of early dementia, including early</w:t>
            </w:r>
          </w:p>
        </w:tc>
        <w:tc>
          <w:tcPr>
            <w:tcW w:w="4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October 5, 2018</w:t>
            </w:r>
          </w:p>
        </w:tc>
      </w:tr>
      <w:tr>
        <w:trPr>
          <w:trHeight w:val="222"/>
        </w:trPr>
        <w:tc>
          <w:tcPr>
            <w:tcW w:w="2480" w:type="dxa"/>
            <w:vAlign w:val="bottom"/>
          </w:tcPr>
          <w:p>
            <w:pPr>
              <w:spacing w:after="0"/>
              <w:rPr>
                <w:sz w:val="19"/>
                <w:szCs w:val="19"/>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Alzheimer’s disease</w:t>
            </w: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70"/>
        </w:trPr>
        <w:tc>
          <w:tcPr>
            <w:tcW w:w="2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40" w:type="dxa"/>
            <w:vAlign w:val="bottom"/>
          </w:tcPr>
          <w:p>
            <w:pPr>
              <w:spacing w:after="0"/>
              <w:rPr>
                <w:sz w:val="6"/>
                <w:szCs w:val="6"/>
                <w:color w:val="auto"/>
              </w:rPr>
            </w:pPr>
          </w:p>
        </w:tc>
      </w:tr>
      <w:tr>
        <w:trPr>
          <w:trHeight w:val="216"/>
        </w:trPr>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U.S. Pat. No. 6,362,173</w:t>
            </w: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Use of GR-II antagonists in the treatment of cocaine-induced psychosis</w:t>
            </w: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5, 2018</w:t>
            </w:r>
          </w:p>
        </w:tc>
      </w:tr>
    </w:tbl>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also licensed exclusive rights from Stanford University to a pending U.S. patent application and any corresponding foreign patents for the use of GR-II antagonists in the modulation of the blood-brain barrier.</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required to make milestone payments and pay royalties to Stanford University on sales of products commercialized under any of the above patents. We are currently in compliance with our obligations under these agreements. If Stanford University were to terminate our CORLUX license or other exclusive licenses due to breach of the license on our part, we would not be able to commercialize CORLUX for the treatment of the psychotic features of PMD or develop mifepristone as a treatment for early dementia, including early Alzheimer’s disease.</w:t>
      </w:r>
    </w:p>
    <w:p>
      <w:pPr>
        <w:spacing w:after="0" w:line="4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also own issued U.S. patents for the use of GR-II antagonists in the treatment of mild cognitive impairment and for the treatment of weight gain following treatment with antipsychotic medication. In addition, we have two U.S. composition of matter patent applications covering specific GR-II antagonists and nine U.S. method of use patent applications covering certain GR-II antagonists for increasing the therapeutic response to ECT, preventing neurological damage in premature infants and for the treatment of:</w:t>
      </w:r>
    </w:p>
    <w:p>
      <w:pPr>
        <w:spacing w:after="0" w:line="49"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delirium;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migraine;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postpartum psychosis;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catatonia;</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gastrointestinal reflux disease;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Down’s syndrome;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post-traumatic stress disorder.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considering, where appropriate, the filing of foreign patent applications corresponding to our U.S. patent applications.</w:t>
      </w:r>
    </w:p>
    <w:p>
      <w:pPr>
        <w:spacing w:after="0" w:line="77"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color w:val="auto"/>
        </w:rPr>
        <w:t>However, we cannot assure you that any of our patent applications will result in the issuance of patents, that any issued patent will include claims of the breadth sought in these applications or that competitors will not successfully challenge or circumvent our patents if they are issued.</w:t>
      </w:r>
    </w:p>
    <w:p>
      <w:pPr>
        <w:spacing w:after="0" w:line="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Although two of our patent applications have claims directed to the composition of compounds that are necessary to make our potential products, none of our issued patents have such claims. Specifically, we do not have a patent with claims directed to the composition of mifepristone or any other GR-II antagonist. Our rights under our issued patents cover only the use of GR-II antagonists, including mifepristone, in the treatment of specific diseases.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patent covering the product mifepristone has expired. The only FDA-approved use of mifepristone is to terminate pregnancy. The FDA has imposed significant restrictions on administering physicians for use of mifepristone to terminate pregnancy and may impose similar restrictions on CORLUX for the treatment of the psychotic features of PMD. We plan to rely on (1) the scope of our use patent, (2) the restrictions imposed by the FDA on the use of mifepristone to terminate pregnancy, (3) the different patient populations, administering physicians and treatment settings between the use of mifepristone to terminate pregnancy and to treat PMD and (4) the likely denial of reimbursement for off-label uses of mifepristone to provide us an exclusive market position for the term of our use patent for the treatment of the psychotic features of PMD.</w:t>
      </w:r>
    </w:p>
    <w:p>
      <w:pPr>
        <w:spacing w:after="0" w:line="2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patent positions of companies in the pharmaceutical industry are highly uncertain, involve complex legal and factual questions and have been and continue to be the subject of much litigation. Our product candidates may give rise to claims that we infringe on the products or proprietary rights of others. If it is determined that our drug candidates infringe on others’ patent rights, we may be required to obtain licenses to those rights. If we fail to obtain licenses when necessary, we may experience delays in commercializing our products while attempting to design around other patents, or determine that we are unable to commercialize our products at all. If we do become involved in intellectual property litigation, we are likely to incur considerable costs in defending or prosecuting the litigation. We believe that we do not currently infringe any third party’s patents or other proprietary rights, and we are not obligated to pay royalties to any third party other than Stanford University. A third party has alleged that it also has rights to the technology that led to the patent for the use of GR-II antagonists to treat psychotic features of PMD. The third party is a prior employer of one of our founders, Dr. Schatzberg, and it alleges that the invention of the technology underlying this patent was conceived by Dr. Schatzberg and/or another employee of the employer while the two were employed by the third party. We believe that the invention was actually conceived by Drs. Schatzberg and Belanoff while they were employed by Stanford University and that the patent was appropriately assigned to Stanford University by them. We believe we will prevail if this matter is pursued against us. If, however, the third party’s claims were successful, it would have the rights to market GR-II antagonists to treat the psychotic features of PMD or to license those rights to others and our business could be materially harmed. In addition, Akzo Nobel has filed an observation to the grant of our exclusively licensed European patent application with claims directed to PMD, in which Akzo Nobel challenges the grant of that patent. We plan to vigorously rebut the points raised by Akzo. During prosecution of the U.S. patent for the use of CORLUX to treat the psychotic features of PMD, the U.S. Patent and Trademark Office considered issues similar to those raised by Akzo and the U.S. patent was ultimately granted. We cannot assure you, however, that the European Patent Office will reach the same conclusion. Should Akzo’s arguments persuade the European Patent Office that the claims should not issue, we will not have the benefit of patent protection in Europe for CORLUX to treat the psychotic features of PMD. We are not aware of any other disputes related to patent issues.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our exclusive license agreement with Stanford University to patents covering the use of CORLUX to treat the psychotic features of PMD and for the treatment of early dementia, we are required to pay Stanford $50,000 annually as a nonrefundable royalty payment. This payment is creditable against future royalties. We are also obligated to pay Stanford a $50,000 milestone upon the filing of the NDA for CORLUX for the treatment of PMD and a further $200,000 milestone payment upon FDA approval of CORLUX. The milestone payments are also creditable against future royalties. This license agreement expires upon expiration of the related patents or upon notification by us to Stanford.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Prescription pharmaceutical products are subject to extensive pre and post market regulation, including regulations that govern the testing, manufacturing, safety, efficacy, labeling, storage, record keeping, advertising, and promotion of the products under the Federal Food, Drug and Cosmetic Act. All of our products will require regulatory approval by government agencies prior to commercialization.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process required by the FDA before a new drug may be marketed in the United States generally involves the following: completion of preclinical laboratory and animal testing; submission of an investigational new drug application, or IND, which must become effective before clinical trials may begin; performance of adequate and well controlled human clinical trials to establish the safety and efficacy of the proposed drug or biologic’s intended use; and, in the case of a new drug, approval by the FDA of an NDA. The process of complying with these and other federal and state statutes and regulations in order to obtain the necessary approvals and subsequently complying with federal and state statutes and regulations involves significant time and expense.</w:t>
      </w:r>
    </w:p>
    <w:p>
      <w:pPr>
        <w:spacing w:after="0" w:line="2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Preclinical studies are generally conducted in laboratory animals to evaluate the potential safety and the efficacy of a product. Drug developers submit the results of preclinical studies to the FDA as a part of an IND, which must be approved before beginning clinical trials in humans. Typically, human clinical trials are conducted in three sequential phases that may overlap.</w:t>
      </w:r>
    </w:p>
    <w:p>
      <w:pPr>
        <w:spacing w:after="0" w:line="46" w:lineRule="exact"/>
        <w:rPr>
          <w:sz w:val="20"/>
          <w:szCs w:val="20"/>
          <w:color w:val="auto"/>
        </w:rPr>
      </w:pPr>
    </w:p>
    <w:p>
      <w:pPr>
        <w:ind w:left="800" w:right="90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Clinical trials are conducted with a small number of subjects to determine the early safety profile, maximum tolerated dose and</w:t>
      </w:r>
      <w:r>
        <w:rPr>
          <w:rFonts w:ascii="Arial" w:cs="Arial" w:eastAsia="Arial" w:hAnsi="Arial"/>
          <w:sz w:val="18"/>
          <w:szCs w:val="18"/>
          <w:i w:val="1"/>
          <w:iCs w:val="1"/>
          <w:color w:val="auto"/>
        </w:rPr>
        <w:t xml:space="preserve"> </w:t>
      </w:r>
      <w:r>
        <w:rPr>
          <w:rFonts w:ascii="Arial" w:cs="Arial" w:eastAsia="Arial" w:hAnsi="Arial"/>
          <w:sz w:val="18"/>
          <w:szCs w:val="18"/>
          <w:color w:val="auto"/>
        </w:rPr>
        <w:t>pharmacokinetics of the product in human volunteers.</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Phase II</w:t>
      </w:r>
      <w:r>
        <w:rPr>
          <w:rFonts w:ascii="Arial" w:cs="Arial" w:eastAsia="Arial" w:hAnsi="Arial"/>
          <w:sz w:val="18"/>
          <w:szCs w:val="18"/>
          <w:color w:val="auto"/>
        </w:rPr>
        <w:t>. Clinical trials are conducted with groups of patients afflicted with a specific disease to determine preliminary efficacy, optimal dosages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evidence of safety.</w:t>
      </w:r>
    </w:p>
    <w:p>
      <w:pPr>
        <w:spacing w:after="0" w:line="37" w:lineRule="exact"/>
        <w:rPr>
          <w:rFonts w:ascii="Arial" w:cs="Arial" w:eastAsia="Arial" w:hAnsi="Arial"/>
          <w:sz w:val="18"/>
          <w:szCs w:val="18"/>
          <w:color w:val="auto"/>
        </w:rPr>
      </w:pPr>
    </w:p>
    <w:p>
      <w:pPr>
        <w:ind w:left="800" w:right="80" w:hanging="346"/>
        <w:spacing w:after="0" w:line="325"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Phase III</w:t>
      </w:r>
      <w:r>
        <w:rPr>
          <w:rFonts w:ascii="Arial" w:cs="Arial" w:eastAsia="Arial" w:hAnsi="Arial"/>
          <w:sz w:val="16"/>
          <w:szCs w:val="16"/>
          <w:color w:val="auto"/>
        </w:rPr>
        <w:t>. Large-scale, multi-center, comparative trials are conducted with patients afflicted with a target disease to establish the overall risk/benefit</w:t>
      </w:r>
      <w:r>
        <w:rPr>
          <w:rFonts w:ascii="Arial" w:cs="Arial" w:eastAsia="Arial" w:hAnsi="Arial"/>
          <w:sz w:val="16"/>
          <w:szCs w:val="16"/>
          <w:i w:val="1"/>
          <w:iCs w:val="1"/>
          <w:color w:val="auto"/>
        </w:rPr>
        <w:t xml:space="preserve"> </w:t>
      </w:r>
      <w:r>
        <w:rPr>
          <w:rFonts w:ascii="Arial" w:cs="Arial" w:eastAsia="Arial" w:hAnsi="Arial"/>
          <w:sz w:val="16"/>
          <w:szCs w:val="16"/>
          <w:color w:val="auto"/>
        </w:rPr>
        <w:t>ratio of the drug and to provide enough data to demonstrate with substantial evidence the efficacy and safety of the product, as required by the FDA.</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FDA and the Institutional Review Boards closely monitor the progress of each of the three phases of clinical trials that are conducted in the United States and may reevaluate, alter, suspend or terminate the testing at any time for various reasons, including a belief that the subjects are being exposed to an unacceptable health risk. The FDA may also require that additional studies be conducted, such as studies demonstrating that the drug being tested does not cause cancer.</w:t>
      </w:r>
    </w:p>
    <w:p>
      <w:pPr>
        <w:spacing w:after="0" w:line="4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After Phase III trials are completed, drug developers submit the results of preclinical studies, clinical trials, formulation studies and data supporting manufacturing to the FDA in the form of a new drug application for approval to commence commercial sales. The FDA reviews all NDAs submitted before it accepts them for filing. The agency may request additional information rather than accept an NDA for filing. If the agency accepts an NDA for filing, the FDA may grant marketing approval, request additional information or deny the application if it determines that the application does not meet regulatory approval criteria. FDA approvals may not be granted on a timely basis, or at all.</w:t>
      </w:r>
    </w:p>
    <w:p>
      <w:pPr>
        <w:spacing w:after="0" w:line="4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the FDA approves an NDA, the subject drug becomes available for physicians to prescribe in the United States. Once approved, the FDA may withdraw the product approval if compliance with pre- and post- market regulatory standards is not maintained. The drug developer must submit periodic reports to the FDA. Adverse experiences with the product must be reported to the FDA and could result in the imposition of marketing restrictions through labeling changes or product removal. Product approvals may be withdrawn if problems with safety or efficacy occur after the product reaches the marketplace. In addition, the FDA may require post-marketing studies, referred to as Phase IV studies, to monitor the effect of approved products, and may limit further marketing of the product based on the results of these post-market studies.</w:t>
      </w:r>
    </w:p>
    <w:p>
      <w:pPr>
        <w:spacing w:after="0" w:line="5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Facilities used to manufacture drugs are subject to periodic inspection by the FDA and other authorities where applicable, and must comply with cGMP regulations. Failure to comply with the statutory and regulatory requirements subjects the manufacturer to possible legal or regulatory action, such as suspension of manufacturing, seizure of product or voluntary recall of a product.</w:t>
      </w:r>
    </w:p>
    <w:p>
      <w:pPr>
        <w:spacing w:after="0" w:line="4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With respect to post market product advertising and promotion, the FDA imposes a number of complex regulations on entities that advertise and promote pharmaceuticals, which include, among others, standards and regulations for direct-to-consumer advertising, off-label promotion, industry sponsored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scientific and educational activities, and promotional activities involving the Internet. The FDA has very broad enforcement authority under the Federal Food Drug and Cosmetic Act, and failure to abide by these regulations can result in penalties including the issuance of a warning letter directing a company to correct deviations from FDA standards, a requirement that future advertising and promotional materials be pre-cleared by the FDA, and state and federal civil and criminal investigations and prosecutions.</w:t>
      </w:r>
    </w:p>
    <w:p>
      <w:pPr>
        <w:spacing w:after="0" w:line="4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studies requested by the FDA after approval, a drug developer may conduct other trials and studies to explore use of the approved compound for treatment of new indications. The purpose of these trials and studies and related publications is to broaden the application and use of the drug and its acceptance in the medical community. Data supporting the use of a drug for these new indications must be submitted to the FDA in a new or supplemental NDA that must be approved by the FDA before the drug can be marketed for the new indications.</w:t>
      </w:r>
    </w:p>
    <w:p>
      <w:pPr>
        <w:spacing w:after="0" w:line="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Approvals outside the United States. </w:t>
      </w:r>
      <w:r>
        <w:rPr>
          <w:rFonts w:ascii="Arial" w:cs="Arial" w:eastAsia="Arial" w:hAnsi="Arial"/>
          <w:sz w:val="18"/>
          <w:szCs w:val="18"/>
          <w:color w:val="auto"/>
        </w:rPr>
        <w:t>We have not started the regulatory approval process in any jurisdiction other than the United States and we are</w:t>
      </w:r>
      <w:r>
        <w:rPr>
          <w:rFonts w:ascii="Arial" w:cs="Arial" w:eastAsia="Arial" w:hAnsi="Arial"/>
          <w:sz w:val="18"/>
          <w:szCs w:val="18"/>
          <w:i w:val="1"/>
          <w:iCs w:val="1"/>
          <w:color w:val="auto"/>
        </w:rPr>
        <w:t xml:space="preserve"> </w:t>
      </w:r>
      <w:r>
        <w:rPr>
          <w:rFonts w:ascii="Arial" w:cs="Arial" w:eastAsia="Arial" w:hAnsi="Arial"/>
          <w:sz w:val="18"/>
          <w:szCs w:val="18"/>
          <w:color w:val="auto"/>
        </w:rPr>
        <w:t>unable to estimate when, if ever, we will commence the regulatory approval process in any foreign jurisdiction. We will have to complete an approval process similar to the U.S. approval process in foreign target markets for our products before we can commercialize our product candidates in those countries. The approval procedure and the time required for approval vary from country to country and can involve additional testing. Foreign approvals may not be granted on a timely basis, or at all. Regulatory approval of prices is required in most countries other than the United States. The prices approved may be too low to generate an acceptable return to us.</w:t>
      </w:r>
    </w:p>
    <w:p>
      <w:pPr>
        <w:spacing w:after="0" w:line="5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Fast Track Designation. </w:t>
      </w:r>
      <w:r>
        <w:rPr>
          <w:rFonts w:ascii="Arial" w:cs="Arial" w:eastAsia="Arial" w:hAnsi="Arial"/>
          <w:sz w:val="16"/>
          <w:szCs w:val="16"/>
          <w:color w:val="auto"/>
        </w:rPr>
        <w:t>The FDA sometimes grants “fast track” status under the Food and Drug Administration Modernization Act of 1997. The fast</w:t>
      </w:r>
      <w:r>
        <w:rPr>
          <w:rFonts w:ascii="Arial" w:cs="Arial" w:eastAsia="Arial" w:hAnsi="Arial"/>
          <w:sz w:val="16"/>
          <w:szCs w:val="16"/>
          <w:i w:val="1"/>
          <w:iCs w:val="1"/>
          <w:color w:val="auto"/>
        </w:rPr>
        <w:t xml:space="preserve"> </w:t>
      </w:r>
      <w:r>
        <w:rPr>
          <w:rFonts w:ascii="Arial" w:cs="Arial" w:eastAsia="Arial" w:hAnsi="Arial"/>
          <w:sz w:val="16"/>
          <w:szCs w:val="16"/>
          <w:color w:val="auto"/>
        </w:rPr>
        <w:t>track mechanism was created to facilitate the development and approval of new drugs intended for the treatment of life-threatening conditions for which there are no effective treatments and which demonstrate the potential to address unmet medical needs for the condition. The fast track process includes scheduling of meetings to seek FDA input into development plans, the option of submitting an NDA serially in sections rather than submitting all components simultaneously, the option to request evaluation of studies using surrogate endpoints, and the potential for a priority review.</w:t>
      </w:r>
    </w:p>
    <w:p>
      <w:pPr>
        <w:spacing w:after="0" w:line="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been granted fast track status for CORLUX for the treatment of the psychotic features of PMD. However the fast track designation may be withdrawn by the FDA at any time. The fast track designation does not guarantee that we will qualify for or be able to take advantage of the expedited review procedures and does not increase the likelihood that CORLUX will receive regulatory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 month-to-month lease covering approximately 3,200 square feet of office space in Menlo Park, California for our corporate facilities. We or our landlord may terminate the lease on six months’ notice. We believe that our existing facility is adequate for our current needs and that suitable additional or alternative space will be available at such time as it becomes needed on commercially reasonable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We are managed by a core group of experienced pharmaceutical executives with a track record of bringing new drugs to market. To facilitate advancement of development programs, we also enlist the expertise of associates and advisors with extensive pharmaceutical development experience.</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2004, we have eight full-time employees, six part-time employees and five long-term contract staff. Three of our full-time employees and two of our part-time employees are M.D.s. We consider our employee relations to be good. None of our employees is covered by a collective bargaining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involved in any material legal proceedings.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March 31, 2004, information about our executive officers and directors: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K. Belanoff, M.D.</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Robert L. Roe, M.D.</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Kurland</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James N. Wilson</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F. Schatzberg, M.D.</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line="217" w:lineRule="exact"/>
              <w:rPr>
                <w:sz w:val="20"/>
                <w:szCs w:val="20"/>
                <w:color w:val="auto"/>
              </w:rPr>
            </w:pPr>
            <w:r>
              <w:rPr>
                <w:rFonts w:ascii="Arial" w:cs="Arial" w:eastAsia="Arial" w:hAnsi="Arial"/>
                <w:sz w:val="18"/>
                <w:szCs w:val="18"/>
                <w:color w:val="auto"/>
              </w:rPr>
              <w:t>David B. Singer</w:t>
            </w:r>
            <w:r>
              <w:rPr>
                <w:rFonts w:ascii="Arial" w:cs="Arial" w:eastAsia="Arial" w:hAnsi="Arial"/>
                <w:sz w:val="22"/>
                <w:szCs w:val="22"/>
                <w:color w:val="auto"/>
                <w:vertAlign w:val="superscript"/>
              </w:rPr>
              <w:t>(1)(3)(4)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G. Leonard Baker, Jr.</w:t>
            </w:r>
            <w:r>
              <w:rPr>
                <w:rFonts w:ascii="Arial" w:cs="Arial" w:eastAsia="Arial" w:hAnsi="Arial"/>
                <w:sz w:val="22"/>
                <w:szCs w:val="22"/>
                <w:color w:val="auto"/>
                <w:vertAlign w:val="superscript"/>
              </w:rPr>
              <w:t>(2)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line="217" w:lineRule="exact"/>
              <w:rPr>
                <w:sz w:val="20"/>
                <w:szCs w:val="20"/>
                <w:color w:val="auto"/>
              </w:rPr>
            </w:pPr>
            <w:r>
              <w:rPr>
                <w:rFonts w:ascii="Arial" w:cs="Arial" w:eastAsia="Arial" w:hAnsi="Arial"/>
                <w:sz w:val="18"/>
                <w:szCs w:val="18"/>
                <w:color w:val="auto"/>
              </w:rPr>
              <w:t>Steven Kapp</w:t>
            </w:r>
            <w:r>
              <w:rPr>
                <w:rFonts w:ascii="Arial" w:cs="Arial" w:eastAsia="Arial" w:hAnsi="Arial"/>
                <w:sz w:val="22"/>
                <w:szCs w:val="22"/>
                <w:color w:val="auto"/>
                <w:vertAlign w:val="superscript"/>
              </w:rPr>
              <w:t>(1)(4)</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Alix Marduel, M.D.</w:t>
            </w:r>
            <w:r>
              <w:rPr>
                <w:rFonts w:ascii="Arial" w:cs="Arial" w:eastAsia="Arial" w:hAnsi="Arial"/>
                <w:sz w:val="22"/>
                <w:szCs w:val="22"/>
                <w:color w:val="auto"/>
                <w:vertAlign w:val="superscript"/>
              </w:rPr>
              <w:t>(2)(3)</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Joseph C. Cook, Jr.</w:t>
            </w:r>
            <w:r>
              <w:rPr>
                <w:rFonts w:ascii="Arial" w:cs="Arial" w:eastAsia="Arial" w:hAnsi="Arial"/>
                <w:sz w:val="22"/>
                <w:szCs w:val="22"/>
                <w:color w:val="auto"/>
                <w:vertAlign w:val="superscript"/>
              </w:rPr>
              <w:t>(1)(3)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Member of the audit committee</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Member of the compensation committee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Member of the nominating and corporate governance committee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Mr. Singer is married to Mr. Kapp’s sister. There are no other family relationships between directors or executive officers.</w:t>
      </w:r>
    </w:p>
    <w:p>
      <w:pPr>
        <w:spacing w:after="0" w:line="6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Joseph K. Belanoff, M.D. </w:t>
      </w:r>
      <w:r>
        <w:rPr>
          <w:rFonts w:ascii="Arial" w:cs="Arial" w:eastAsia="Arial" w:hAnsi="Arial"/>
          <w:sz w:val="16"/>
          <w:szCs w:val="16"/>
          <w:color w:val="auto"/>
        </w:rPr>
        <w:t>is a co-founder and has served as a member of our board of directors and as our Chief Executive Officer since 1999. Dr. Belanoff</w:t>
      </w:r>
      <w:r>
        <w:rPr>
          <w:rFonts w:ascii="Arial" w:cs="Arial" w:eastAsia="Arial" w:hAnsi="Arial"/>
          <w:sz w:val="16"/>
          <w:szCs w:val="16"/>
          <w:i w:val="1"/>
          <w:iCs w:val="1"/>
          <w:color w:val="auto"/>
        </w:rPr>
        <w:t xml:space="preserve"> </w:t>
      </w:r>
      <w:r>
        <w:rPr>
          <w:rFonts w:ascii="Arial" w:cs="Arial" w:eastAsia="Arial" w:hAnsi="Arial"/>
          <w:sz w:val="16"/>
          <w:szCs w:val="16"/>
          <w:color w:val="auto"/>
        </w:rPr>
        <w:t>is currently a faculty member and has held various positions in the Department of Psychiatry and Behavioral Sciences at Stanford University since 1992. From 1997 to 2001, he served as the Director of Psychopharmacology at the outpatient division of the Palo Alto Veterans Affairs Hospital. Dr. Belanoff received his B.A. from Amherst College and his M.D. from Columbia University’s College of Physicians &amp; Surgeons.</w:t>
      </w:r>
    </w:p>
    <w:p>
      <w:pPr>
        <w:spacing w:after="0" w:line="1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Robert L. Roe, M.D. </w:t>
      </w:r>
      <w:r>
        <w:rPr>
          <w:rFonts w:ascii="Arial" w:cs="Arial" w:eastAsia="Arial" w:hAnsi="Arial"/>
          <w:sz w:val="16"/>
          <w:szCs w:val="16"/>
          <w:color w:val="auto"/>
        </w:rPr>
        <w:t>joined us as President in October 2001. He has spent more than 25 years in the pharmaceutical and biotechnology industries.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2001, Dr. Roe served as President and Chief Executive Officer of Allergenics, Inc. From 1996 to 1999, he was Executive Vice President, Chief Operating Officer and a director of Cytel Corporation. From 1995 to 1996, he was Executive Vice President, Chief Operating Officer and a director of Chugai Biopharmaceuticals, Inc. From 1992 to 1995, Dr. Roe served as President of the Development Research Division and Senior Vice President of Syntex Corporation. Dr. Roe received his B.A. from Stanford University and his M.D. from the University of California, San Francisco.</w:t>
      </w:r>
    </w:p>
    <w:p>
      <w:pPr>
        <w:spacing w:after="0" w:line="2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Fred Kurland </w:t>
      </w:r>
      <w:r>
        <w:rPr>
          <w:rFonts w:ascii="Arial" w:cs="Arial" w:eastAsia="Arial" w:hAnsi="Arial"/>
          <w:sz w:val="16"/>
          <w:szCs w:val="16"/>
          <w:color w:val="auto"/>
        </w:rPr>
        <w:t>joined us as Chief Financial Officer in February 2004. Mr. Kurland served as Vice President and Chief Financial Officer of Genitope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from 2002 until February 2004. From 1998 to 2002 he served as Senior Vice President and Chief Financial Officer of Aviron, Inc. Mr. Kurland served as Vice President and Chief Financial Officer of Protein Design Labs, Inc. from 1996 to 1998. From 1995 to 1996, Mr. Kurland served as Vice President, Chief Financial Officer and Secretary of Applied Immune Sciences, Inc. From 1991 to 1995, Mr. Kurland served as Vice President and Controller of Syntex Corporation. Mr. Kurland received his B.S. from Lehigh University and his J.D. and M.B.A. degrees from the University of Chicago.</w:t>
      </w:r>
    </w:p>
    <w:p>
      <w:pPr>
        <w:spacing w:after="0" w:line="2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James N. Wilson </w:t>
      </w:r>
      <w:r>
        <w:rPr>
          <w:rFonts w:ascii="Arial" w:cs="Arial" w:eastAsia="Arial" w:hAnsi="Arial"/>
          <w:sz w:val="16"/>
          <w:szCs w:val="16"/>
          <w:color w:val="auto"/>
        </w:rPr>
        <w:t>has served as a director and as Chairman of our board of directors since 1999. Since 2002, Mr. Wilson has served as a director of Amylin</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1996 to 2001, Mr. Wilson was Chairman of the board of Amira Medical, Inc. From 1991 to 1994, Mr. Wilson was Chief Operating Officer of Syntex Corporation. From 1989 to 1990, Mr. Wilson was Chairman and Chief Executive Officer of Neurex Corporation and from 1982 to 1988, Mr. Wilson was Chief Executive Officer of LifeScan, Inc. Mr. Wilson received his B.A. and M.B.A. from the University of Arizona.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Alan F. Schatzberg, M.D. </w:t>
      </w:r>
      <w:r>
        <w:rPr>
          <w:rFonts w:ascii="Arial" w:cs="Arial" w:eastAsia="Arial" w:hAnsi="Arial"/>
          <w:sz w:val="18"/>
          <w:szCs w:val="18"/>
          <w:color w:val="auto"/>
        </w:rPr>
        <w:t>is a co-founder and has served as a member of our board of directors and as chairman of our Scientific Advisory Board since</w:t>
      </w:r>
      <w:r>
        <w:rPr>
          <w:rFonts w:ascii="Arial" w:cs="Arial" w:eastAsia="Arial" w:hAnsi="Arial"/>
          <w:sz w:val="18"/>
          <w:szCs w:val="18"/>
          <w:i w:val="1"/>
          <w:iCs w:val="1"/>
          <w:color w:val="auto"/>
        </w:rPr>
        <w:t xml:space="preserve"> </w:t>
      </w:r>
      <w:r>
        <w:rPr>
          <w:rFonts w:ascii="Arial" w:cs="Arial" w:eastAsia="Arial" w:hAnsi="Arial"/>
          <w:sz w:val="18"/>
          <w:szCs w:val="18"/>
          <w:color w:val="auto"/>
        </w:rPr>
        <w:t>1998. Since 1991, Dr. Schatzberg has been a Professor and the Chairman of the Department of Psychiatry and Behavioral Sciences at Stanford University’s School of Medicine and is Past President of the American College of Neuropsychopharmacology. He received his B.S. from New York University and his M.D. from New York University, School of Medicine.</w:t>
      </w:r>
    </w:p>
    <w:p>
      <w:pPr>
        <w:spacing w:after="0" w:line="4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David B. Singer </w:t>
      </w:r>
      <w:r>
        <w:rPr>
          <w:rFonts w:ascii="Arial" w:cs="Arial" w:eastAsia="Arial" w:hAnsi="Arial"/>
          <w:sz w:val="18"/>
          <w:szCs w:val="18"/>
          <w:color w:val="auto"/>
        </w:rPr>
        <w:t>has served as a member of our board of directors since 1998. Since February 2004, Mr. Singer has served as Chairman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Genome Therapeutics Corporation. From September 1998 to February 2004, Mr. Singer was Chairman and Chief Executive Officer of GeneSoft Pharmaceuticals, Inc. From 1996 to 1998, Mr. Singer was Senior Vice President and Chief Financial Officer of Heartport, Inc. From 1992 to 1996, he was President and Chief Executive Office of Affymetrix, Inc. He currently serves on the board of Affymetrix, Inc. Mr. Singer received his B.A. from Yale University, and his M.B.A. from Stanford University.</w:t>
      </w:r>
    </w:p>
    <w:p>
      <w:pPr>
        <w:spacing w:after="0" w:line="4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G. Leonard Baker, Jr. </w:t>
      </w:r>
      <w:r>
        <w:rPr>
          <w:rFonts w:ascii="Arial" w:cs="Arial" w:eastAsia="Arial" w:hAnsi="Arial"/>
          <w:sz w:val="18"/>
          <w:szCs w:val="18"/>
          <w:color w:val="auto"/>
        </w:rPr>
        <w:t>has served as a member of our board of directors since 1999. Since 1973, Mr. Baker has been a Managing Director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Sutter Hill Ventures, a venture capital firm. Mr. Baker currently serves on the board of Praecis Pharmaceuticals Incorporated and the board of Therma-Wave, Inc., each of which is a publicly traded company, and a number of private companies. Mr. Baker received his B.A. from Yale University and his M.B.A. from Stanford University.</w:t>
      </w:r>
    </w:p>
    <w:p>
      <w:pPr>
        <w:spacing w:after="0" w:line="49" w:lineRule="exact"/>
        <w:rPr>
          <w:sz w:val="20"/>
          <w:szCs w:val="20"/>
          <w:color w:val="auto"/>
        </w:rPr>
      </w:pPr>
    </w:p>
    <w:p>
      <w:pPr>
        <w:jc w:val="both"/>
        <w:ind w:right="760" w:firstLine="456"/>
        <w:spacing w:after="0" w:line="259" w:lineRule="auto"/>
        <w:rPr>
          <w:sz w:val="20"/>
          <w:szCs w:val="20"/>
          <w:color w:val="auto"/>
        </w:rPr>
      </w:pPr>
      <w:r>
        <w:rPr>
          <w:rFonts w:ascii="Arial" w:cs="Arial" w:eastAsia="Arial" w:hAnsi="Arial"/>
          <w:sz w:val="18"/>
          <w:szCs w:val="18"/>
          <w:i w:val="1"/>
          <w:iCs w:val="1"/>
          <w:color w:val="auto"/>
        </w:rPr>
        <w:t xml:space="preserve">Steven Kapp </w:t>
      </w:r>
      <w:r>
        <w:rPr>
          <w:rFonts w:ascii="Arial" w:cs="Arial" w:eastAsia="Arial" w:hAnsi="Arial"/>
          <w:sz w:val="18"/>
          <w:szCs w:val="18"/>
          <w:color w:val="auto"/>
        </w:rPr>
        <w:t>has served as a member of our board of directors since 2001. Since 1996, he has been a limited partner at Maverick Capital, Ltd.,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adviser to private investment funds. From 1993 to 1996, he was founder and a General Partner of Longwood Partners, a private investment partnership. He received his B.A. and his M.B.A. from the University of North Carolina.</w:t>
      </w:r>
    </w:p>
    <w:p>
      <w:pPr>
        <w:spacing w:after="0" w:line="4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Alix Marduel, M.D. </w:t>
      </w:r>
      <w:r>
        <w:rPr>
          <w:rFonts w:ascii="Arial" w:cs="Arial" w:eastAsia="Arial" w:hAnsi="Arial"/>
          <w:sz w:val="18"/>
          <w:szCs w:val="18"/>
          <w:color w:val="auto"/>
        </w:rPr>
        <w:t>has served as a member of our board of directors since 2001. Since April 1997, she has been a managing director of Alta Partners, a</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capital firm. From 1990 to 1997, Dr. Marduel was a general partner at Sofinnova, Inc., a venture capital firm. She currently serves as director of a number of private companies. Dr. Marduel received her M.D. from the University of Paris.</w:t>
      </w:r>
    </w:p>
    <w:p>
      <w:pPr>
        <w:spacing w:after="0" w:line="4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Joseph C. Cook, Jr. </w:t>
      </w:r>
      <w:r>
        <w:rPr>
          <w:rFonts w:ascii="Arial" w:cs="Arial" w:eastAsia="Arial" w:hAnsi="Arial"/>
          <w:sz w:val="18"/>
          <w:szCs w:val="18"/>
          <w:color w:val="auto"/>
        </w:rPr>
        <w:t>has served as a member of our board of directors since 2002. Mr. Cook is chairman of the board of directors of Amylin</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Pharmaceuticals, Inc. Mr. Cook served as Chief Executive Officer of Amylin Pharmaceuticals from 1998 to 2003. Mr. Cook is a founder and currently serves as chairman of the board of Microbia, Inc. Mr. Cook is an officer of Mountain Ventures, Inc., and a founder of Clinical Products, Inc. and Mountain Group Capital, LLC. Mr. Cook retired as Group Vice President of Eli Lilly &amp; Company in 1993 after more than 28 years of service. Mr. Cook received his B.S. from the University of Tennessee.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1998, we convened a scientific advisory board of individuals with expertise in psychiatry, psychopharmacology and neuroendocrinology. The chairman of our scientific advisory board is Dr. Schatzberg, who is also a member of our board of directors.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2004, the following persons are members of our scientific advisory board: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Professional</w:t>
            </w:r>
          </w:p>
        </w:tc>
        <w:tc>
          <w:tcPr>
            <w:tcW w:w="0" w:type="dxa"/>
            <w:vAlign w:val="bottom"/>
          </w:tcPr>
          <w:p>
            <w:pPr>
              <w:spacing w:after="0"/>
              <w:rPr>
                <w:sz w:val="1"/>
                <w:szCs w:val="1"/>
                <w:color w:val="auto"/>
              </w:rPr>
            </w:pPr>
          </w:p>
        </w:tc>
      </w:tr>
      <w:tr>
        <w:trPr>
          <w:trHeight w:val="174"/>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Member</w:t>
            </w:r>
          </w:p>
        </w:tc>
        <w:tc>
          <w:tcPr>
            <w:tcW w:w="5580" w:type="dxa"/>
            <w:vAlign w:val="bottom"/>
            <w:gridSpan w:val="3"/>
          </w:tcPr>
          <w:p>
            <w:pPr>
              <w:ind w:left="1040"/>
              <w:spacing w:after="0"/>
              <w:rPr>
                <w:sz w:val="20"/>
                <w:szCs w:val="20"/>
                <w:color w:val="auto"/>
              </w:rPr>
            </w:pPr>
            <w:r>
              <w:rPr>
                <w:rFonts w:ascii="Arial" w:cs="Arial" w:eastAsia="Arial" w:hAnsi="Arial"/>
                <w:sz w:val="14"/>
                <w:szCs w:val="14"/>
                <w:b w:val="1"/>
                <w:bCs w:val="1"/>
                <w:color w:val="auto"/>
              </w:rPr>
              <w:t>University Affiliation</w:t>
            </w: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Concentration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F. Schatzberg, M.D.</w:t>
            </w:r>
          </w:p>
        </w:tc>
        <w:tc>
          <w:tcPr>
            <w:tcW w:w="55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Stanford University</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Psychiatry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Charles B. Nemeroff, M.D., Ph.D.</w:t>
            </w:r>
          </w:p>
        </w:tc>
        <w:tc>
          <w:tcPr>
            <w:tcW w:w="5580" w:type="dxa"/>
            <w:vAlign w:val="bottom"/>
            <w:gridSpan w:val="3"/>
          </w:tcPr>
          <w:p>
            <w:pPr>
              <w:ind w:left="1040"/>
              <w:spacing w:after="0"/>
              <w:rPr>
                <w:sz w:val="20"/>
                <w:szCs w:val="20"/>
                <w:color w:val="auto"/>
              </w:rPr>
            </w:pPr>
            <w:r>
              <w:rPr>
                <w:rFonts w:ascii="Arial" w:cs="Arial" w:eastAsia="Arial" w:hAnsi="Arial"/>
                <w:sz w:val="18"/>
                <w:szCs w:val="18"/>
                <w:color w:val="auto"/>
              </w:rPr>
              <w:t>Emory University</w:t>
            </w:r>
          </w:p>
        </w:tc>
        <w:tc>
          <w:tcPr>
            <w:tcW w:w="2400" w:type="dxa"/>
            <w:vAlign w:val="bottom"/>
            <w:gridSpan w:val="2"/>
          </w:tcPr>
          <w:p>
            <w:pPr>
              <w:spacing w:after="0"/>
              <w:rPr>
                <w:sz w:val="20"/>
                <w:szCs w:val="20"/>
                <w:color w:val="auto"/>
              </w:rPr>
            </w:pPr>
            <w:r>
              <w:rPr>
                <w:rFonts w:ascii="Arial" w:cs="Arial" w:eastAsia="Arial" w:hAnsi="Arial"/>
                <w:sz w:val="18"/>
                <w:szCs w:val="18"/>
                <w:color w:val="auto"/>
              </w:rPr>
              <w:t>Psychiatry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McEwen, Ph.D.</w:t>
            </w:r>
          </w:p>
        </w:tc>
        <w:tc>
          <w:tcPr>
            <w:tcW w:w="55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Rockefeller University</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Neuroendocrinology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K. Ranga Rama Krishnan, M.D.</w:t>
            </w:r>
          </w:p>
        </w:tc>
        <w:tc>
          <w:tcPr>
            <w:tcW w:w="5580" w:type="dxa"/>
            <w:vAlign w:val="bottom"/>
            <w:gridSpan w:val="3"/>
          </w:tcPr>
          <w:p>
            <w:pPr>
              <w:ind w:left="1040"/>
              <w:spacing w:after="0"/>
              <w:rPr>
                <w:sz w:val="20"/>
                <w:szCs w:val="20"/>
                <w:color w:val="auto"/>
              </w:rPr>
            </w:pPr>
            <w:r>
              <w:rPr>
                <w:rFonts w:ascii="Arial" w:cs="Arial" w:eastAsia="Arial" w:hAnsi="Arial"/>
                <w:sz w:val="18"/>
                <w:szCs w:val="18"/>
                <w:color w:val="auto"/>
              </w:rPr>
              <w:t>Duke University</w:t>
            </w:r>
          </w:p>
        </w:tc>
        <w:tc>
          <w:tcPr>
            <w:tcW w:w="2400" w:type="dxa"/>
            <w:vAlign w:val="bottom"/>
            <w:gridSpan w:val="2"/>
          </w:tcPr>
          <w:p>
            <w:pPr>
              <w:spacing w:after="0"/>
              <w:rPr>
                <w:sz w:val="20"/>
                <w:szCs w:val="20"/>
                <w:color w:val="auto"/>
              </w:rPr>
            </w:pPr>
            <w:r>
              <w:rPr>
                <w:rFonts w:ascii="Arial" w:cs="Arial" w:eastAsia="Arial" w:hAnsi="Arial"/>
                <w:sz w:val="18"/>
                <w:szCs w:val="18"/>
                <w:color w:val="auto"/>
              </w:rPr>
              <w:t>Psychiatry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Edo Ronald de Kloet, M.D.</w:t>
            </w:r>
          </w:p>
        </w:tc>
        <w:tc>
          <w:tcPr>
            <w:tcW w:w="55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Leiden University (the Netherlands)</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Neurobiology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Florian Holsboer, M.D., Ph.D.</w:t>
            </w:r>
          </w:p>
        </w:tc>
        <w:tc>
          <w:tcPr>
            <w:tcW w:w="5580" w:type="dxa"/>
            <w:vAlign w:val="bottom"/>
            <w:gridSpan w:val="3"/>
          </w:tcPr>
          <w:p>
            <w:pPr>
              <w:ind w:left="1040"/>
              <w:spacing w:after="0"/>
              <w:rPr>
                <w:sz w:val="20"/>
                <w:szCs w:val="20"/>
                <w:color w:val="auto"/>
              </w:rPr>
            </w:pPr>
            <w:r>
              <w:rPr>
                <w:rFonts w:ascii="Arial" w:cs="Arial" w:eastAsia="Arial" w:hAnsi="Arial"/>
                <w:sz w:val="18"/>
                <w:szCs w:val="18"/>
                <w:color w:val="auto"/>
              </w:rPr>
              <w:t>Max Planck Institute of Psychiatry (Germany)</w:t>
            </w:r>
          </w:p>
        </w:tc>
        <w:tc>
          <w:tcPr>
            <w:tcW w:w="2400" w:type="dxa"/>
            <w:vAlign w:val="bottom"/>
            <w:gridSpan w:val="2"/>
          </w:tcPr>
          <w:p>
            <w:pPr>
              <w:spacing w:after="0"/>
              <w:rPr>
                <w:sz w:val="20"/>
                <w:szCs w:val="20"/>
                <w:color w:val="auto"/>
              </w:rPr>
            </w:pPr>
            <w:r>
              <w:rPr>
                <w:rFonts w:ascii="Arial" w:cs="Arial" w:eastAsia="Arial" w:hAnsi="Arial"/>
                <w:sz w:val="18"/>
                <w:szCs w:val="18"/>
                <w:color w:val="auto"/>
              </w:rPr>
              <w:t>Psychiatry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Ned H. Kalin, M.D.</w:t>
            </w:r>
          </w:p>
        </w:tc>
        <w:tc>
          <w:tcPr>
            <w:tcW w:w="55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University of Wisconsin</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Psychiatry</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00" w:type="dxa"/>
            <w:vAlign w:val="bottom"/>
            <w:gridSpan w:val="2"/>
          </w:tcPr>
          <w:p>
            <w:pPr>
              <w:ind w:left="2180"/>
              <w:spacing w:after="0"/>
              <w:rPr>
                <w:sz w:val="20"/>
                <w:szCs w:val="20"/>
                <w:color w:val="auto"/>
              </w:rPr>
            </w:pPr>
            <w:r>
              <w:rPr>
                <w:rFonts w:ascii="Arial" w:cs="Arial" w:eastAsia="Arial" w:hAnsi="Arial"/>
                <w:sz w:val="18"/>
                <w:szCs w:val="18"/>
                <w:color w:val="auto"/>
              </w:rPr>
              <w:t>49</w:t>
            </w:r>
          </w:p>
        </w:tc>
        <w:tc>
          <w:tcPr>
            <w:tcW w:w="2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 Compensation</w:t>
      </w:r>
    </w:p>
    <w:p>
      <w:pPr>
        <w:spacing w:after="0" w:line="83"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We reimburse each member of our scientific advisory board for out-of-pocket expenses incurred in connection with attending board meetings, but do not, except as described below, compensate them for their services as scientific advisory board members. In the past, with the exception of Dr. Schatzberg, we have granted options to purchase our common stock to each member of our scientific advisory board. In August 1998, we granted to each of Dr. Nemeroff, Dr.</w:t>
      </w:r>
    </w:p>
    <w:p>
      <w:pPr>
        <w:spacing w:after="0" w:line="1" w:lineRule="exact"/>
        <w:rPr>
          <w:sz w:val="20"/>
          <w:szCs w:val="20"/>
          <w:color w:val="auto"/>
        </w:rPr>
      </w:pPr>
    </w:p>
    <w:p>
      <w:pPr>
        <w:jc w:val="both"/>
        <w:ind w:right="260"/>
        <w:spacing w:after="0" w:line="295" w:lineRule="auto"/>
        <w:rPr>
          <w:sz w:val="20"/>
          <w:szCs w:val="20"/>
          <w:color w:val="auto"/>
        </w:rPr>
      </w:pPr>
      <w:r>
        <w:rPr>
          <w:rFonts w:ascii="Arial" w:cs="Arial" w:eastAsia="Arial" w:hAnsi="Arial"/>
          <w:sz w:val="16"/>
          <w:szCs w:val="16"/>
          <w:color w:val="auto"/>
        </w:rPr>
        <w:t>McEwen, Dr. Krishnan, Dr. de Kloet and Dr. Holsboer an option to purchase 60,000 shares of our common stock at an exercise price of $0.00033 per share. In April 2002, we granted to Dr. Kalin an option to purchase 25,000 shares of our common stock at an exercise price of $7.00 per share. Pursuant to a consulting agreement with us, Dr. Schatzberg received compensation of $60,000 as chair of the scientific advisory board in 2002 and $60,000 for his services as chair in 2003. We can terminate this agreement for any reason upon 30 days’ notice to Dr. Schatzberg.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have eight directors.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directors will be elected at each annual meeting of stockholders, or special meeting in lieu thereof. The authorized number of directors may be changed only by resolution adopted by a majority of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w:t>
      </w:r>
    </w:p>
    <w:p>
      <w:pPr>
        <w:spacing w:after="0" w:line="10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i w:val="1"/>
          <w:iCs w:val="1"/>
          <w:color w:val="auto"/>
        </w:rPr>
        <w:t>Audit Committee</w:t>
      </w:r>
      <w:r>
        <w:rPr>
          <w:rFonts w:ascii="Arial" w:cs="Arial" w:eastAsia="Arial" w:hAnsi="Arial"/>
          <w:sz w:val="15"/>
          <w:szCs w:val="15"/>
          <w:color w:val="auto"/>
        </w:rPr>
        <w:t>. Our audit committee consists of Messrs. Cook, Kapp and Singer. Our audit committee oversees our corporate accounting and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reporting process. Our audit committee evaluates the independent auditors qualifications, independence and performance; determines the engagement of the independent auditors; approves the retention of the independent auditors to perform any proposed permissible non-audit services; monitors the rotation of partners of the independent auditors on the engagement team as required by law; reviews our financial statements; reviews our critical accounting policies and estimates; and discusses with management and the independent auditors the results of the annual audit and the review of our quarterly financial statements. Mr. Singer will be our audit committee financial expert under the SEC rules implementing Section 407 of the Sarbanes-Oxley Act of 2002. We believe that the composition of our audit committee meets the requirements for independence under the current requirements of the Sarbanes-Oxley Act of 2002, the Nasdaq National Market and SEC rules and regulations. We believe that the functioning of our audit committee complies with the applicable requirements of the Sarbanes-Oxley Act of 2002, the Nasdaq National Market and SEC rules and regulations. We intend to comply with future requirements to the extent they become applicable to us.</w:t>
      </w:r>
    </w:p>
    <w:p>
      <w:pPr>
        <w:spacing w:after="0" w:line="1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Our compensation committee consists of Dr. Marduel and Mr. Baker. Our compensation committee reviews and recommends</w:t>
      </w:r>
      <w:r>
        <w:rPr>
          <w:rFonts w:ascii="Arial" w:cs="Arial" w:eastAsia="Arial" w:hAnsi="Arial"/>
          <w:sz w:val="16"/>
          <w:szCs w:val="16"/>
          <w:i w:val="1"/>
          <w:iCs w:val="1"/>
          <w:color w:val="auto"/>
        </w:rPr>
        <w:t xml:space="preserve"> </w:t>
      </w:r>
      <w:r>
        <w:rPr>
          <w:rFonts w:ascii="Arial" w:cs="Arial" w:eastAsia="Arial" w:hAnsi="Arial"/>
          <w:sz w:val="16"/>
          <w:szCs w:val="16"/>
          <w:color w:val="auto"/>
        </w:rPr>
        <w:t>policy relating to compensation and benefits of our officers and employees, including reviewing and approving corporate goals and objectives relevant to compensation of the Chief Executive Officer and other executive officers, evaluating the performance of these officers in light of those goals and objectives, and setting compensation of these officers based on such evaluations. The compensation committee also administers the issuance of stock options and other awards under our equity incentive plan. We believe that the composition of our compensation committee meets the requirements for independence under, and the functioning of our compensation committee complies with, any applicable requirements of the Sarbanes-Oxley Act of 2002, the Nasdaq National Market and SEC rules and regulations. We intend to comply with future requirements to the extent they become applicable to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Our nominating and corporate governance committee consists of Dr. Marduel, Mr. Cook and</w:t>
      </w:r>
      <w:r>
        <w:rPr>
          <w:rFonts w:ascii="Arial" w:cs="Arial" w:eastAsia="Arial" w:hAnsi="Arial"/>
          <w:sz w:val="16"/>
          <w:szCs w:val="16"/>
          <w:i w:val="1"/>
          <w:iCs w:val="1"/>
          <w:color w:val="auto"/>
        </w:rPr>
        <w:t xml:space="preserve"> </w:t>
      </w:r>
      <w:r>
        <w:rPr>
          <w:rFonts w:ascii="Arial" w:cs="Arial" w:eastAsia="Arial" w:hAnsi="Arial"/>
          <w:sz w:val="16"/>
          <w:szCs w:val="16"/>
          <w:color w:val="auto"/>
        </w:rPr>
        <w:t>Mr. Singer, each of whom is a non-management member of our board of directors. The nominating and corporate governance committee will identify and evaluate nominees for election as directors, and review and assess our code of ethics.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Prior to establishing the compensation committee, the board of directors as a whole made decisions relating to compensation of our executive officers. No member of the board of directors or the compensation committee serves as a member of the board of directors or compensation committee of any other entity that has one or more executive officers serving as a member of our board of directors or compensation committee.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Except as described below, our non-executive directors do not receive any cash compensation for their service as members of the board or for their attendance at committee meetings, but they are entitled to reimbursement for all reasonable out-of-pocket expenses incurred in connection with attendance at board and committee meetings.</w:t>
      </w:r>
    </w:p>
    <w:p>
      <w:pPr>
        <w:spacing w:after="0" w:line="46" w:lineRule="exact"/>
        <w:rPr>
          <w:sz w:val="20"/>
          <w:szCs w:val="20"/>
          <w:color w:val="auto"/>
        </w:rPr>
      </w:pPr>
    </w:p>
    <w:p>
      <w:pPr>
        <w:ind w:right="180" w:firstLine="456"/>
        <w:spacing w:after="0" w:line="347" w:lineRule="auto"/>
        <w:rPr>
          <w:sz w:val="20"/>
          <w:szCs w:val="20"/>
          <w:color w:val="auto"/>
        </w:rPr>
      </w:pPr>
      <w:r>
        <w:rPr>
          <w:rFonts w:ascii="Arial" w:cs="Arial" w:eastAsia="Arial" w:hAnsi="Arial"/>
          <w:sz w:val="15"/>
          <w:szCs w:val="15"/>
          <w:color w:val="auto"/>
        </w:rPr>
        <w:t>Pursuant to a consulting agreement, Mr. Wilson received compensation of $60,000 during 2002 for his service as chairman of the board. Mr. Wilson became an employee in September 2002 and received a salary of $40,000 in 2002 and $103,500 in 2003. Mr. Wilson also received a bonus of $10,350 in 2003.</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1998, Dr. Schatzberg purchased 3,000,000 shares of our common stock at $0.00033 per share. In May 1999, Mr. Wilson purchased 1,770,939 shares of our common stock at $0.033 per share. We have the right to repurchase a portion of those shares at cost if Mr. Wilson ceases to serve on our board of directors. This right of repurchase lapses monthly over five years. In April 2002 and November 2003, we granted stock options to Mr. Cook to purchase 50,000 shares and 25,000 shares, respectively, of our common stock at $7.00 per share. Upon issuance, these shares will be subject to a right of repurchase that lapses as to 20% of the shares after one year and in equal monthly installments over the four year period thereafter.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right="260" w:firstLine="456"/>
        <w:spacing w:after="0" w:line="325" w:lineRule="auto"/>
        <w:rPr>
          <w:sz w:val="20"/>
          <w:szCs w:val="20"/>
          <w:color w:val="auto"/>
        </w:rPr>
      </w:pPr>
      <w:r>
        <w:rPr>
          <w:rFonts w:ascii="Arial" w:cs="Arial" w:eastAsia="Arial" w:hAnsi="Arial"/>
          <w:sz w:val="16"/>
          <w:szCs w:val="16"/>
          <w:color w:val="auto"/>
        </w:rPr>
        <w:t>Our amended and restated certificate of incorporation limits the liability of directors to the maximum extent permitted by Delaware law. Delaware law provides that directors of a corporation will not be personally liable for monetary damages for breach of their fiduciary duties as directors, except liability for:</w:t>
      </w:r>
    </w:p>
    <w:p>
      <w:pPr>
        <w:spacing w:after="0" w:line="1" w:lineRule="exact"/>
        <w:rPr>
          <w:sz w:val="20"/>
          <w:szCs w:val="20"/>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Our bylaws provide that we will indemnify our directors, officers, employees and other agents to the fullest extent permitted by law. We believe that indemnification under our bylaws covers at least negligence and gross negligence on the part of indemnified parties. Our bylaws also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4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the indemnification provided for in our bylaws. These agreements, among other things,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provide that we will indemnify our directors and executive officers for certain expenses (including attorneys’ fees), judgments, fines and settlement amounts incurred by a director or executive officer in any action or proceeding arising out of such person’s services as one of our directors or executive officers, or any of our subsidiaries or any other company or enterprise to which the person provides services at our request. We believe that these provisions and agreements are necessary to attract and retain qualified persons as directors and executive officers.</w:t>
      </w:r>
    </w:p>
    <w:p>
      <w:pPr>
        <w:spacing w:after="0" w:line="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is no pending litigation or proceeding involving a director or executive officer of Corcept as to which indemnification is required or permitted, and we are not aware of any threatened litigation or proceeding that may result in a claim for indemnification.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sets forth information regarding the compensation for the fiscal year ended December 31, 2003 paid by us to our Chief Executive Officer and to our other executive officer who received salary and bonus compensation in 2003 of more than $100,000. These persons are collectively referred to as the “Named Executive Officers.”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8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Annual Compensation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Compensation Awards</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40" w:type="dxa"/>
            <w:vAlign w:val="bottom"/>
            <w:gridSpan w:val="2"/>
          </w:tcPr>
          <w:p>
            <w:pPr>
              <w:spacing w:after="0"/>
              <w:rPr>
                <w:sz w:val="8"/>
                <w:szCs w:val="8"/>
                <w:color w:val="auto"/>
              </w:rPr>
            </w:pPr>
          </w:p>
        </w:tc>
        <w:tc>
          <w:tcPr>
            <w:tcW w:w="2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 and</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Securities Underlying</w:t>
            </w: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74"/>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1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Year</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Salary ($)</w:t>
            </w:r>
          </w:p>
        </w:tc>
        <w:tc>
          <w:tcPr>
            <w:tcW w:w="940" w:type="dxa"/>
            <w:vAlign w:val="bottom"/>
          </w:tcPr>
          <w:p>
            <w:pPr>
              <w:spacing w:after="0"/>
              <w:rPr>
                <w:sz w:val="15"/>
                <w:szCs w:val="15"/>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3"/>
              </w:rPr>
              <w:t>Bonus ($)</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8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Joseph K. Belanoff, M.D.</w:t>
            </w:r>
          </w:p>
        </w:tc>
        <w:tc>
          <w:tcPr>
            <w:tcW w:w="1140" w:type="dxa"/>
            <w:vAlign w:val="bottom"/>
            <w:gridSpan w:val="2"/>
            <w:shd w:val="clear" w:color="auto" w:fill="CCEEFF"/>
          </w:tcPr>
          <w:p>
            <w:pPr>
              <w:jc w:val="right"/>
              <w:ind w:right="820"/>
              <w:spacing w:after="0" w:line="138" w:lineRule="exact"/>
              <w:rPr>
                <w:sz w:val="20"/>
                <w:szCs w:val="20"/>
                <w:color w:val="auto"/>
              </w:rPr>
            </w:pPr>
            <w:r>
              <w:rPr>
                <w:rFonts w:ascii="Arial" w:cs="Arial" w:eastAsia="Arial" w:hAnsi="Arial"/>
                <w:sz w:val="14"/>
                <w:szCs w:val="14"/>
                <w:color w:val="auto"/>
                <w:w w:val="96"/>
              </w:rPr>
              <w:t>2003</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310,500</w:t>
            </w:r>
          </w:p>
        </w:tc>
        <w:tc>
          <w:tcPr>
            <w:tcW w:w="2320" w:type="dxa"/>
            <w:vAlign w:val="bottom"/>
            <w:gridSpan w:val="3"/>
            <w:shd w:val="clear" w:color="auto" w:fill="CCEEFF"/>
          </w:tcPr>
          <w:p>
            <w:pPr>
              <w:jc w:val="right"/>
              <w:ind w:right="820"/>
              <w:spacing w:after="0" w:line="138" w:lineRule="exact"/>
              <w:rPr>
                <w:sz w:val="20"/>
                <w:szCs w:val="20"/>
                <w:color w:val="auto"/>
              </w:rPr>
            </w:pPr>
            <w:r>
              <w:rPr>
                <w:rFonts w:ascii="Arial" w:cs="Arial" w:eastAsia="Arial" w:hAnsi="Arial"/>
                <w:sz w:val="14"/>
                <w:szCs w:val="14"/>
                <w:color w:val="auto"/>
              </w:rPr>
              <w:t>31,050</w:t>
            </w:r>
          </w:p>
        </w:tc>
        <w:tc>
          <w:tcPr>
            <w:tcW w:w="1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1"/>
                <w:szCs w:val="11"/>
                <w:color w:val="auto"/>
              </w:rPr>
            </w:pPr>
          </w:p>
        </w:tc>
        <w:tc>
          <w:tcPr>
            <w:tcW w:w="1020" w:type="dxa"/>
            <w:vAlign w:val="bottom"/>
            <w:shd w:val="clear" w:color="auto" w:fill="CCEEFF"/>
          </w:tcPr>
          <w:p>
            <w:pPr>
              <w:ind w:left="8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40" w:type="dxa"/>
            <w:vAlign w:val="bottom"/>
            <w:gridSpan w:val="2"/>
          </w:tcPr>
          <w:p>
            <w:pPr>
              <w:spacing w:after="0" w:line="138" w:lineRule="exact"/>
              <w:rPr>
                <w:sz w:val="20"/>
                <w:szCs w:val="20"/>
                <w:color w:val="auto"/>
              </w:rPr>
            </w:pPr>
            <w:r>
              <w:rPr>
                <w:rFonts w:ascii="Arial" w:cs="Arial" w:eastAsia="Arial" w:hAnsi="Arial"/>
                <w:sz w:val="14"/>
                <w:szCs w:val="14"/>
                <w:color w:val="auto"/>
              </w:rPr>
              <w:t>Robert L. Roe, M.D.</w:t>
            </w:r>
          </w:p>
        </w:tc>
        <w:tc>
          <w:tcPr>
            <w:tcW w:w="1140" w:type="dxa"/>
            <w:vAlign w:val="bottom"/>
            <w:gridSpan w:val="2"/>
          </w:tcPr>
          <w:p>
            <w:pPr>
              <w:jc w:val="right"/>
              <w:ind w:right="820"/>
              <w:spacing w:after="0" w:line="138" w:lineRule="exact"/>
              <w:rPr>
                <w:sz w:val="20"/>
                <w:szCs w:val="20"/>
                <w:color w:val="auto"/>
              </w:rPr>
            </w:pPr>
            <w:r>
              <w:rPr>
                <w:rFonts w:ascii="Arial" w:cs="Arial" w:eastAsia="Arial" w:hAnsi="Arial"/>
                <w:sz w:val="14"/>
                <w:szCs w:val="14"/>
                <w:color w:val="auto"/>
                <w:w w:val="96"/>
              </w:rPr>
              <w:t>2003</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310,500</w:t>
            </w:r>
          </w:p>
        </w:tc>
        <w:tc>
          <w:tcPr>
            <w:tcW w:w="2320" w:type="dxa"/>
            <w:vAlign w:val="bottom"/>
            <w:gridSpan w:val="3"/>
          </w:tcPr>
          <w:p>
            <w:pPr>
              <w:jc w:val="right"/>
              <w:ind w:right="820"/>
              <w:spacing w:after="0" w:line="138" w:lineRule="exact"/>
              <w:rPr>
                <w:sz w:val="20"/>
                <w:szCs w:val="20"/>
                <w:color w:val="auto"/>
              </w:rPr>
            </w:pPr>
            <w:r>
              <w:rPr>
                <w:rFonts w:ascii="Arial" w:cs="Arial" w:eastAsia="Arial" w:hAnsi="Arial"/>
                <w:sz w:val="14"/>
                <w:szCs w:val="14"/>
                <w:color w:val="auto"/>
              </w:rPr>
              <w:t>31,050</w:t>
            </w:r>
          </w:p>
        </w:tc>
        <w:tc>
          <w:tcPr>
            <w:tcW w:w="1300" w:type="dxa"/>
            <w:vAlign w:val="bottom"/>
          </w:tcPr>
          <w:p>
            <w:pPr>
              <w:jc w:val="right"/>
              <w:spacing w:after="0" w:line="138" w:lineRule="exact"/>
              <w:rPr>
                <w:sz w:val="20"/>
                <w:szCs w:val="20"/>
                <w:color w:val="auto"/>
              </w:rPr>
            </w:pPr>
            <w:r>
              <w:rPr>
                <w:rFonts w:ascii="Arial" w:cs="Arial" w:eastAsia="Arial" w:hAnsi="Arial"/>
                <w:sz w:val="14"/>
                <w:szCs w:val="14"/>
                <w:color w:val="auto"/>
              </w:rPr>
              <w:t>100,000</w:t>
            </w:r>
          </w:p>
        </w:tc>
        <w:tc>
          <w:tcPr>
            <w:tcW w:w="820" w:type="dxa"/>
            <w:vAlign w:val="bottom"/>
          </w:tcPr>
          <w:p>
            <w:pPr>
              <w:spacing w:after="0"/>
              <w:rPr>
                <w:sz w:val="11"/>
                <w:szCs w:val="11"/>
                <w:color w:val="auto"/>
              </w:rPr>
            </w:pPr>
          </w:p>
        </w:tc>
        <w:tc>
          <w:tcPr>
            <w:tcW w:w="1020" w:type="dxa"/>
            <w:vAlign w:val="bottom"/>
          </w:tcPr>
          <w:p>
            <w:pPr>
              <w:ind w:left="8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gridSpan w:val="2"/>
          </w:tcPr>
          <w:p>
            <w:pPr>
              <w:ind w:left="200"/>
              <w:spacing w:after="0"/>
              <w:rPr>
                <w:sz w:val="20"/>
                <w:szCs w:val="20"/>
                <w:color w:val="auto"/>
              </w:rPr>
            </w:pPr>
            <w:r>
              <w:rPr>
                <w:rFonts w:ascii="Arial" w:cs="Arial" w:eastAsia="Arial" w:hAnsi="Arial"/>
                <w:sz w:val="14"/>
                <w:szCs w:val="14"/>
                <w:color w:val="auto"/>
              </w:rPr>
              <w:t>President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Grants in Last Fiscal Year</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table sets forth information with respect to stock options granted during the fiscal year ended December 31, 2003 to each of the Named Executive Officers. All options were granted under our 2000 Stock Option Plan at an exercise price equal to the fair market value of our common stock, as determined by our board of directors, on the date of grant. Shares purchased under the options granted to Dr. Roe will be subject to a right of repurchase that lapses as to 20% of the shares after one year and in equal monthly installments over the four year period thereafter. The percentage of options granted is based on an aggregate of options to purchase a total of 207,500 shares of common stock granted by us during the fiscal year ended December 31, 2003 to our employees, including the Named Executive Officers.</w:t>
      </w:r>
    </w:p>
    <w:p>
      <w:pPr>
        <w:spacing w:after="0" w:line="5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potential realizable value amounts in the last two columns of the following chart represents hypothetical gains that could be achieved for the respective options if exercised at the end of the option term, are net of the exercise prices and before taxes associated with the exercise, and we have based them on an assumed initial public offering price of $16.00 per share. The assumed 5% and 10% annual rates of stock price appreciation from the date of grant to the end of the option terms are provided in accordance with rules of the SEC and do not represent our estimate or projection of the future common stock price. Actual gains, if any, on stock option exercises are dependent on the future performance of the common stock, overall market conditions and the option holder’s continued employment through the vesting period. This table does not take into account any actual appreciation in the price of the common stock from the date of grant to the present.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Individual Grants</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16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 of Total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4"/>
              </w:rPr>
              <w:t>Value at assumed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7"/>
              </w:rPr>
              <w:t>Annual Rates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Granted to</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5"/>
              </w:rPr>
              <w:t>of Stock Price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Employees in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8"/>
              </w:rPr>
              <w:t>Appreciation for</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w:t>
            </w:r>
          </w:p>
        </w:tc>
        <w:tc>
          <w:tcPr>
            <w:tcW w:w="5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Fiscal Year</w:t>
            </w:r>
          </w:p>
        </w:tc>
        <w:tc>
          <w:tcPr>
            <w:tcW w:w="170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Price/Share ($)</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158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7"/>
              </w:rPr>
              <w:t>Option Terms ($)</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K. Belanoff, M.D.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Robert L. Roe, M.D.</w:t>
            </w:r>
          </w:p>
        </w:tc>
        <w:tc>
          <w:tcPr>
            <w:tcW w:w="680" w:type="dxa"/>
            <w:vAlign w:val="bottom"/>
          </w:tcPr>
          <w:p>
            <w:pPr>
              <w:jc w:val="right"/>
              <w:spacing w:after="0"/>
              <w:rPr>
                <w:sz w:val="20"/>
                <w:szCs w:val="20"/>
                <w:color w:val="auto"/>
              </w:rPr>
            </w:pPr>
            <w:r>
              <w:rPr>
                <w:rFonts w:ascii="Arial" w:cs="Arial" w:eastAsia="Arial" w:hAnsi="Arial"/>
                <w:sz w:val="14"/>
                <w:szCs w:val="14"/>
                <w:color w:val="auto"/>
              </w:rPr>
              <w:t>100,000</w:t>
            </w:r>
          </w:p>
        </w:tc>
        <w:tc>
          <w:tcPr>
            <w:tcW w:w="1740" w:type="dxa"/>
            <w:vAlign w:val="bottom"/>
            <w:gridSpan w:val="3"/>
          </w:tcPr>
          <w:p>
            <w:pPr>
              <w:ind w:left="1200"/>
              <w:spacing w:after="0"/>
              <w:rPr>
                <w:sz w:val="20"/>
                <w:szCs w:val="20"/>
                <w:color w:val="auto"/>
              </w:rPr>
            </w:pPr>
            <w:r>
              <w:rPr>
                <w:rFonts w:ascii="Arial" w:cs="Arial" w:eastAsia="Arial" w:hAnsi="Arial"/>
                <w:sz w:val="14"/>
                <w:szCs w:val="14"/>
                <w:color w:val="auto"/>
              </w:rPr>
              <w:t>48%</w:t>
            </w:r>
          </w:p>
        </w:tc>
        <w:tc>
          <w:tcPr>
            <w:tcW w:w="4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7.00</w:t>
            </w:r>
          </w:p>
        </w:tc>
        <w:tc>
          <w:tcPr>
            <w:tcW w:w="56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11/23/13</w:t>
            </w:r>
          </w:p>
        </w:tc>
        <w:tc>
          <w:tcPr>
            <w:tcW w:w="760" w:type="dxa"/>
            <w:vAlign w:val="bottom"/>
          </w:tcPr>
          <w:p>
            <w:pPr>
              <w:jc w:val="right"/>
              <w:spacing w:after="0"/>
              <w:rPr>
                <w:sz w:val="20"/>
                <w:szCs w:val="20"/>
                <w:color w:val="auto"/>
              </w:rPr>
            </w:pPr>
            <w:r>
              <w:rPr>
                <w:rFonts w:ascii="Arial" w:cs="Arial" w:eastAsia="Arial" w:hAnsi="Arial"/>
                <w:sz w:val="14"/>
                <w:szCs w:val="14"/>
                <w:color w:val="auto"/>
              </w:rPr>
              <w:t>1,906,224</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3,449,984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Fiscal Year-End Option Values</w:t>
      </w:r>
    </w:p>
    <w:p>
      <w:pPr>
        <w:spacing w:after="0" w:line="83"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The following table sets forth certain information regarding stock options during the fiscal year ended December 31, 2003 and unexercised options held as of December 31, 2003 by each of the Named Executive Officers. All options were granted under our 2000 Stock Option Plan.</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value of unexercised in-the-money options at December 31, 2003 are based on an assumed initial public offering price of $16.00 per share, minus the per share exercise price, multiplied by the number of shares underlying the option.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Number of Securities Underlying</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Value of Unexercised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Unexercised Options at Fiscal</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2003 (#)</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 2003 ($)</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0" w:type="dxa"/>
            <w:vAlign w:val="bottom"/>
            <w:gridSpan w:val="2"/>
          </w:tcPr>
          <w:p>
            <w:pPr>
              <w:spacing w:after="0"/>
              <w:rPr>
                <w:sz w:val="8"/>
                <w:szCs w:val="8"/>
                <w:color w:val="auto"/>
              </w:rPr>
            </w:pPr>
          </w:p>
        </w:tc>
        <w:tc>
          <w:tcPr>
            <w:tcW w:w="4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9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2"/>
              </w:rPr>
              <w:t>Exercisable</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K. Belanoff, M.D.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Robert L. Roe, M.D.</w:t>
            </w:r>
          </w:p>
        </w:tc>
        <w:tc>
          <w:tcPr>
            <w:tcW w:w="680" w:type="dxa"/>
            <w:vAlign w:val="bottom"/>
          </w:tcPr>
          <w:p>
            <w:pPr>
              <w:jc w:val="right"/>
              <w:spacing w:after="0"/>
              <w:rPr>
                <w:sz w:val="20"/>
                <w:szCs w:val="20"/>
                <w:color w:val="auto"/>
              </w:rPr>
            </w:pPr>
            <w:r>
              <w:rPr>
                <w:rFonts w:ascii="Arial" w:cs="Arial" w:eastAsia="Arial" w:hAnsi="Arial"/>
                <w:sz w:val="14"/>
                <w:szCs w:val="14"/>
                <w:color w:val="auto"/>
              </w:rPr>
              <w:t>106,346</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3,654</w:t>
            </w:r>
          </w:p>
        </w:tc>
        <w:tc>
          <w:tcPr>
            <w:tcW w:w="2280" w:type="dxa"/>
            <w:vAlign w:val="bottom"/>
            <w:gridSpan w:val="3"/>
          </w:tcPr>
          <w:p>
            <w:pPr>
              <w:jc w:val="right"/>
              <w:spacing w:after="0"/>
              <w:rPr>
                <w:sz w:val="20"/>
                <w:szCs w:val="20"/>
                <w:color w:val="auto"/>
              </w:rPr>
            </w:pPr>
            <w:r>
              <w:rPr>
                <w:rFonts w:ascii="Arial" w:cs="Arial" w:eastAsia="Arial" w:hAnsi="Arial"/>
                <w:sz w:val="14"/>
                <w:szCs w:val="14"/>
                <w:color w:val="auto"/>
              </w:rPr>
              <w:t>957,114</w:t>
            </w:r>
          </w:p>
        </w:tc>
        <w:tc>
          <w:tcPr>
            <w:tcW w:w="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32,886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-280035</wp:posOffset>
            </wp:positionV>
            <wp:extent cx="260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Arrangements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2000 Stock Option Plan provides that, upon the sale of all or substantially all of our assets or upon our acquisition by another corporation pursuant to a merger or consolidation, each outstanding option will generally become fully vested, or the right of repurchase held by us will lapse, unless the surviving corporation assumes the option or replaces it with a comparable option.</w:t>
      </w:r>
    </w:p>
    <w:p>
      <w:pPr>
        <w:spacing w:after="0" w:line="4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2004 Equity Incentive Plan provides, generally, that in the event of (a) a merger or consolidation in which we are not the surviving corporation, (b) a merger in which we are the surviving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corporation but after which our stockholders immediately prior to such merger cease to own their shares or other equity interest in us, (c) the sale of all or substantially all of our assets, or (d) the acquisition, sale, or transfer of more than 50% of our outstanding shares by tender offer or similar transaction, any or all outstanding awards under the plan may be assumed, converted, replaced or substituted. In the event such successor corporation (if any) does not assume or substitute awards under the plan, the vesting with respect to awards will accelerate so that the awards may be exercised before the closing or completion of the transaction but then terminate. If the options, SARs, or stock awards are assumed or substituted under a change in control or other transaction, then vesting or termination of repurchase rights may occur upon the subsequent involuntary termination (which includes certain constructive termination events) of an awardee’s service within 12 months following the transaction or change in control.</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a letter agreement with Robert L. Roe, M.D., our President. Pursuant to this letter agreement, Dr. Roe received a base salary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$300,000 in 2002, which was increased to $310,500 in 2003, and received a one-time hiring bonus equal to $100,000 paid in lump sum and earned over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of Dr. Roe’s employment with Corcept. In addition, in accordance with this letter agreement, Dr. Roe received an option to purchase 250,000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with an exercise price of $0.75 per share and a $187,250 loan evidenced by a full-recourse promissory note to Corcept to finance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 Shares purchased by Dr. Roe pursuant to the option are subject to our right of repurchase. In the event of an acquisition of more than 50%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control of Corcept, the right of repurchase will lapse as to an additional 20% of the shares subject to the option. If we terminate Dr. Roe’s employment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reason other than for cause, Dr. Roe will receive a lump sum severance payment equal to his annual salary in effect at the time of his termination.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entered into a letter agreement with Fred Kurland, our Chief Financial Officer. Pursuant to this letter agreement, Mr. Kurland receives a base salary of $240,000. In addition, in accordance with this letter agreement, Mr. Kurland received an option to purchase 200,000 shares of our common stock with an exercise price of $7.00 per share. This option will vest with respect to 20% of the shares after one year and with respect to the remaining shares in equal monthly installments over the four-year period thereafter.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Stock Option Plan</w:t>
      </w:r>
    </w:p>
    <w:p>
      <w:pPr>
        <w:spacing w:after="0" w:line="83"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Our 2000 Stock Option Plan was adopted by our board of directors and stockholders in October 2000. Our 2000 Stock Option Plan provides for the grant of incentive stock options, which may provide for preferential tax treatment to our employees, and for the grant of nonstatutory stock options to our employees, directors and consultants. As of March 31, 2004, we had reserved an aggregate of 2,000,000 shares of our common stock for issuance under this plan. As of March 31, 2004, 590,536 of our outstanding shares have been issued pursuant to the exercise of options, options to purchase 730,500 shares of common stock were outstanding, and 678,964 shares are available for future grant. The 2000 Stock Option Plan provides that in the event of a change in control, each outstanding option will generally become fully vested, or the right of repurchase held by us will lapse, unless the surviving corporation assumes the option or replaces it with a comparable option. Upon the closing of this offering, no additional stock options may be granted under the 2000 Stock Option Plan.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Equity Incentive Plan</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March 2004, our board of directors and stockholders approved the 2004 Equity Incentive Plan, or 2004 Plan, which will become effective upon the completion of this offering.</w:t>
      </w:r>
    </w:p>
    <w:p>
      <w:pPr>
        <w:spacing w:after="0" w:line="3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purpose of the 2004 Plan is to enhance the long-term stockholders’ value of our company by offering opportunities to eligible individuals to participate in the growth in value of the equity of our company. Stock options, stock appreciation rights, or SARs, stock awards and cash awards may be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granted under the 2004 Plan. Each is referred to as an award in the 2004 Plan. Options granted under the 2004 Plan may be either “incentive stock options”, as defined under Section 422 of the Internal Revenue Code of 1986, as amended, or non-statutory stock options.</w:t>
      </w:r>
    </w:p>
    <w:p>
      <w:pPr>
        <w:spacing w:after="0" w:line="3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a total of 3,000,000 shares of our common stock, subject to adjustment, for issuance under the 2004 Plan,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available for future grant.</w:t>
      </w:r>
    </w:p>
    <w:p>
      <w:pPr>
        <w:spacing w:after="0" w:line="3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Automatic Annual Increase of Share Reserve</w:t>
      </w:r>
      <w:r>
        <w:rPr>
          <w:rFonts w:ascii="Arial" w:cs="Arial" w:eastAsia="Arial" w:hAnsi="Arial"/>
          <w:sz w:val="16"/>
          <w:szCs w:val="16"/>
          <w:color w:val="auto"/>
        </w:rPr>
        <w:t>. The 2004 Plan provides that the share reserve will be cumulatively increased on January 1 of each year,</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January 1, 2005 and for nine years thereafter, by a number of shares that is equal to the least of (a) 2% of the number of our company’s shares issued and outstanding prior to the preceding December 31, (b) 1,000,000 shares and (c) a number of shares set by the board.</w:t>
      </w:r>
    </w:p>
    <w:p>
      <w:pPr>
        <w:spacing w:after="0" w:line="1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2004 Plan is administered by our board of directors or the compensation committee of the board. The board or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is referred to in the 2004 Plan as the administrator.</w:t>
      </w:r>
    </w:p>
    <w:p>
      <w:pPr>
        <w:spacing w:after="0" w:line="3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Awards under the 2004 Plan may be granted to our employees, directors and consultants. Incentive stock options may be granted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administrator, in its discretion, approves awards granted under the 2004 Plan.</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Termination of Awards</w:t>
      </w:r>
      <w:r>
        <w:rPr>
          <w:rFonts w:ascii="Arial" w:cs="Arial" w:eastAsia="Arial" w:hAnsi="Arial"/>
          <w:sz w:val="16"/>
          <w:szCs w:val="16"/>
          <w:color w:val="auto"/>
        </w:rPr>
        <w:t>. Generally, if an awardee’s service to us as terminates other than by reason of death, disability, retirement or for cause, vested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and SARs will remain exercisable for a period of three months following the awardee’s termination. Unless otherwise provided for by the administrator in the award agreement, if an awardee dies or becomes totally and permanently disabled while an employee or consultant or director, the awardee’s vested options and SARs will be exercisable for one year following the awardee’s death or disability, or if earlier, the expiration of the term of such award.</w:t>
      </w:r>
    </w:p>
    <w:p>
      <w:pPr>
        <w:spacing w:after="0" w:line="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otherwise determined by the administrator, awards granted under the 2004 Plan are not transferable other than by</w:t>
      </w:r>
      <w:r>
        <w:rPr>
          <w:rFonts w:ascii="Arial" w:cs="Arial" w:eastAsia="Arial" w:hAnsi="Arial"/>
          <w:sz w:val="16"/>
          <w:szCs w:val="16"/>
          <w:i w:val="1"/>
          <w:iCs w:val="1"/>
          <w:color w:val="auto"/>
        </w:rPr>
        <w:t xml:space="preserve"> </w:t>
      </w:r>
      <w:r>
        <w:rPr>
          <w:rFonts w:ascii="Arial" w:cs="Arial" w:eastAsia="Arial" w:hAnsi="Arial"/>
          <w:sz w:val="16"/>
          <w:szCs w:val="16"/>
          <w:color w:val="auto"/>
        </w:rPr>
        <w:t>will, a domestic relations order, or the laws of descent and distribution and may be exercised during the awardee’s lifetime only by the awardee.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administrator determines the exercise price of options at the time the options are granted. The exercise price of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may not be less than 100% of the fair market value of the our common stock on the date of grant. The exercise price of a non-statutory stock option may not be less than 85% of the fair market value of our common stock on the date of grant. The fair market value of our common stock will generally be the closing sales price as quoted on the Nasdaq National Market.</w:t>
      </w:r>
    </w:p>
    <w:p>
      <w:pPr>
        <w:spacing w:after="0" w:line="4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Exercise of Option; Form of Consideration</w:t>
      </w:r>
      <w:r>
        <w:rPr>
          <w:rFonts w:ascii="Arial" w:cs="Arial" w:eastAsia="Arial" w:hAnsi="Arial"/>
          <w:sz w:val="18"/>
          <w:szCs w:val="18"/>
          <w:color w:val="auto"/>
        </w:rPr>
        <w:t>. The administrator determines when options become exercisable. The means of payment for shares issued 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option are specified in each award agreement. The 2004 Plan permits payment to be made by cash, check, wire transfer, other shares of our common stock (with some restrictions), or broker-assisted same day sales.</w:t>
      </w:r>
    </w:p>
    <w:p>
      <w:pPr>
        <w:spacing w:after="0" w:line="46"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i w:val="1"/>
          <w:iCs w:val="1"/>
          <w:color w:val="auto"/>
        </w:rPr>
        <w:t>Term of Option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term of an option may be no more than ten years from the date of grant. No option may be exercised after the expiration of its term.</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administrator may grant SARs alone, in addition to, or in tandem with, any other awards. An SAR entitles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the amount by which the fair market value of a specified number of shares on the exercise date exceeds an exercise price established by the administrator. The excess amount will be payable in ordinary shares, in cash or in a combination thereof, as determined by the administrator. The terms and conditions of an SAR will be contained in an award agreement. The grant of an SAR may be made contingent upon the achievement of objective performance conditions.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Stock Awards. </w:t>
      </w:r>
      <w:r>
        <w:rPr>
          <w:rFonts w:ascii="Arial" w:cs="Arial" w:eastAsia="Arial" w:hAnsi="Arial"/>
          <w:sz w:val="15"/>
          <w:szCs w:val="15"/>
          <w:color w:val="auto"/>
        </w:rPr>
        <w:t>The administrator may grant stock awards (restricted shares) as payment of a bonus, as payment of any other compensation obligation,</w:t>
      </w:r>
      <w:r>
        <w:rPr>
          <w:rFonts w:ascii="Arial" w:cs="Arial" w:eastAsia="Arial" w:hAnsi="Arial"/>
          <w:sz w:val="15"/>
          <w:szCs w:val="15"/>
          <w:i w:val="1"/>
          <w:iCs w:val="1"/>
          <w:color w:val="auto"/>
        </w:rPr>
        <w:t xml:space="preserve"> </w:t>
      </w:r>
      <w:r>
        <w:rPr>
          <w:rFonts w:ascii="Arial" w:cs="Arial" w:eastAsia="Arial" w:hAnsi="Arial"/>
          <w:sz w:val="15"/>
          <w:szCs w:val="15"/>
          <w:color w:val="auto"/>
        </w:rPr>
        <w:t>upon the occurrence of a special event or as otherwise determined by the administrator. The terms and conditions of a stock award will be contained in an award agreement. Vesting and the lapse of restrictions on such stock awards may be conditioned upon the achievement of performance goals determined by the administrator. Recipients of restricted shares may have voting rights and may receive dividends on the granted shares prior to the time the restrictions lapse.</w:t>
      </w:r>
    </w:p>
    <w:p>
      <w:pPr>
        <w:spacing w:after="0" w:line="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The administrator may grant cash awards, which entitle the recipient to a cash payment on the satisfaction of performance goals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award. The administrator determines the terms, conditions and restrictions related to cash awards.</w:t>
      </w:r>
    </w:p>
    <w:p>
      <w:pPr>
        <w:spacing w:after="0" w:line="37"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i w:val="1"/>
          <w:iCs w:val="1"/>
          <w:color w:val="auto"/>
        </w:rPr>
        <w:t xml:space="preserve">Adjustments on Changes in Capitalization. </w:t>
      </w:r>
      <w:r>
        <w:rPr>
          <w:rFonts w:ascii="Arial" w:cs="Arial" w:eastAsia="Arial" w:hAnsi="Arial"/>
          <w:sz w:val="18"/>
          <w:szCs w:val="18"/>
          <w:color w:val="auto"/>
        </w:rPr>
        <w:t>In the event of any stock dividend, stock split, reverse stock split, recapitalization,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spin-off or similar change to our capital structure, appropriate adjustments will be made to:</w:t>
      </w:r>
    </w:p>
    <w:p>
      <w:pPr>
        <w:spacing w:after="0" w:line="3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class of securities subject to the 2004 Plan;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class of securities that may be awarded to any individual under the 2004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and number and class of securities under each outstanding Award.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adjustments will be made by our board in its absolute discretion.</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Generally, in the event of (a) a merger or consolidation in which we are not the surviving corporation, (b) a merger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are the surviving corporation but after which our stockholders immediately prior to such merger cease to own their shares or other equity interest in us,</w:t>
      </w:r>
    </w:p>
    <w:p>
      <w:pPr>
        <w:ind w:firstLine="8"/>
        <w:spacing w:after="0" w:line="254" w:lineRule="auto"/>
        <w:tabs>
          <w:tab w:leader="none" w:pos="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sale of all or substantially all of our assets, or (d) the acquisition, sale, or transfer of more than 50% of our outstanding shares by tender offer or similar transaction, any or all outstanding awards may be assumed, converted, replaced or substituted. In the event such successor corporation (if any) does not assume or substitute awards, the vesting with respect to such awards will accelerate so that the awards may be exercised before the closing or completion of the transaction but then terminate.</w:t>
      </w:r>
    </w:p>
    <w:p>
      <w:pPr>
        <w:spacing w:after="0" w:line="4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board may also specify that other transactions or events constitute a “change in control” and may provide for the accelerated vesting of shares which are the subject of awards and take any one or more the actions described for a merger transaction. Our board need not adopt the same rules for each award under the 2004 Plan or for each holder of such awards.</w:t>
      </w:r>
    </w:p>
    <w:p>
      <w:pPr>
        <w:spacing w:after="0" w:line="4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the options, SARs, or stock awards are assumed or substituted under a change in control or other transaction, then vesting or termination of repurchase rights may occur upon the subsequent involuntary termination (which includes certain constructive termination events) of an awardee’s service within 12 months following the transaction or change in control.</w:t>
      </w:r>
    </w:p>
    <w:p>
      <w:pPr>
        <w:spacing w:after="0" w:line="4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the event of a proposed dissolution or liquidation of our company, our board may cause awards to be fully vested and exercisable (but not after their expiration date) before the dissolution is completed but contingent on its completion.</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Amendment and Termination of the Plan. </w:t>
      </w:r>
      <w:r>
        <w:rPr>
          <w:rFonts w:ascii="Arial" w:cs="Arial" w:eastAsia="Arial" w:hAnsi="Arial"/>
          <w:sz w:val="18"/>
          <w:szCs w:val="18"/>
          <w:color w:val="auto"/>
        </w:rPr>
        <w:t>Our board may amend, alter, suspend or terminate the 2004 Plan, or any part thereof, at any time and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However, we will solicit stockholder approval for any amendment to the 2004 Plan to the extent necessary to comply with applicable laws. Generally, no such action by our board or stockholders may alter or impair any award previously granted under the 2004 Plan without the written consent of the awardee. The 2004 Plan has a term of ten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transactions:</w:t>
      </w:r>
    </w:p>
    <w:p>
      <w:pPr>
        <w:spacing w:after="0" w:line="77"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which we have been a party during the last three years;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which the amount involved exceeds $60,000; and</w:t>
      </w:r>
    </w:p>
    <w:p>
      <w:pPr>
        <w:spacing w:after="0" w:line="76" w:lineRule="exact"/>
        <w:rPr>
          <w:rFonts w:ascii="Arial" w:cs="Arial" w:eastAsia="Arial" w:hAnsi="Arial"/>
          <w:sz w:val="18"/>
          <w:szCs w:val="18"/>
          <w:color w:val="auto"/>
        </w:rPr>
      </w:pPr>
    </w:p>
    <w:p>
      <w:pPr>
        <w:ind w:left="460" w:right="840" w:hanging="6"/>
        <w:spacing w:after="0" w:line="418" w:lineRule="auto"/>
        <w:tabs>
          <w:tab w:leader="none" w:pos="7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which any director, executive officer or holder of more than 5% of our capital stock had or will have a direct or indirect material interest. You should also review certain arrangements with our executive officers that are described under “Management”.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Issuances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directors and holders of more than 5% of our securities purchased securities in our preferred stock financings in the amounts and as of the dates shown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gridSpan w:val="8"/>
          </w:tcPr>
          <w:p>
            <w:pPr>
              <w:ind w:left="680"/>
              <w:spacing w:after="0"/>
              <w:rPr>
                <w:sz w:val="20"/>
                <w:szCs w:val="20"/>
                <w:color w:val="auto"/>
              </w:rPr>
            </w:pPr>
            <w:r>
              <w:rPr>
                <w:rFonts w:ascii="Arial" w:cs="Arial" w:eastAsia="Arial" w:hAnsi="Arial"/>
                <w:sz w:val="14"/>
                <w:szCs w:val="14"/>
                <w:b w:val="1"/>
                <w:bCs w:val="1"/>
                <w:color w:val="auto"/>
              </w:rPr>
              <w:t>Shares of Convertible Preferred Stock</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Series B*</w:t>
            </w:r>
          </w:p>
        </w:tc>
        <w:tc>
          <w:tcPr>
            <w:tcW w:w="13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Series BB</w:t>
            </w:r>
          </w:p>
        </w:tc>
        <w:tc>
          <w:tcPr>
            <w:tcW w:w="8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Series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2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Sutter Hill Ventures and affiliates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w w:val="89"/>
              </w:rPr>
              <w:t>1,383,687</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986,253</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213,702</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w w:val="89"/>
              </w:rPr>
              <w:t>1,123,337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343,400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gridSpan w:val="3"/>
          </w:tcPr>
          <w:p>
            <w:pPr>
              <w:spacing w:after="0" w:line="176" w:lineRule="exact"/>
              <w:rPr>
                <w:sz w:val="20"/>
                <w:szCs w:val="20"/>
                <w:color w:val="auto"/>
              </w:rPr>
            </w:pPr>
            <w:r>
              <w:rPr>
                <w:rFonts w:ascii="Arial" w:cs="Arial" w:eastAsia="Arial" w:hAnsi="Arial"/>
                <w:sz w:val="13"/>
                <w:szCs w:val="13"/>
                <w:color w:val="auto"/>
              </w:rPr>
              <w:t>Alta BioPharma Partners II, LLC and affiliates</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color w:val="auto"/>
                <w:w w:val="89"/>
              </w:rPr>
              <w:t>1,132,182</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566,092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Maverick Capital, Ltd.</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w w:val="89"/>
              </w:rPr>
              <w:t>1,415,227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707,614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gridSpan w:val="3"/>
          </w:tcPr>
          <w:p>
            <w:pPr>
              <w:spacing w:after="0" w:line="176" w:lineRule="exact"/>
              <w:rPr>
                <w:sz w:val="20"/>
                <w:szCs w:val="20"/>
                <w:color w:val="auto"/>
              </w:rPr>
            </w:pPr>
            <w:r>
              <w:rPr>
                <w:rFonts w:ascii="Arial" w:cs="Arial" w:eastAsia="Arial" w:hAnsi="Arial"/>
                <w:sz w:val="13"/>
                <w:szCs w:val="13"/>
                <w:color w:val="auto"/>
              </w:rPr>
              <w:t>James N. Wilson and affiliates</w:t>
            </w:r>
            <w:r>
              <w:rPr>
                <w:rFonts w:ascii="Arial" w:cs="Arial" w:eastAsia="Arial" w:hAnsi="Arial"/>
                <w:sz w:val="20"/>
                <w:szCs w:val="20"/>
                <w:color w:val="auto"/>
                <w:vertAlign w:val="superscript"/>
              </w:rPr>
              <w:t>(4)</w:t>
            </w:r>
          </w:p>
        </w:tc>
        <w:tc>
          <w:tcPr>
            <w:tcW w:w="8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color w:val="auto"/>
              </w:rPr>
              <w:t>405,336</w:t>
            </w:r>
          </w:p>
        </w:tc>
        <w:tc>
          <w:tcPr>
            <w:tcW w:w="10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color w:val="auto"/>
              </w:rPr>
              <w:t>144,999</w:t>
            </w:r>
          </w:p>
        </w:tc>
        <w:tc>
          <w:tcPr>
            <w:tcW w:w="100" w:type="dxa"/>
            <w:vAlign w:val="bottom"/>
          </w:tcPr>
          <w:p>
            <w:pPr>
              <w:spacing w:after="0"/>
              <w:rPr>
                <w:sz w:val="15"/>
                <w:szCs w:val="15"/>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color w:val="auto"/>
              </w:rPr>
              <w:t>38,149</w:t>
            </w:r>
          </w:p>
        </w:tc>
        <w:tc>
          <w:tcPr>
            <w:tcW w:w="80" w:type="dxa"/>
            <w:vAlign w:val="bottom"/>
          </w:tcPr>
          <w:p>
            <w:pPr>
              <w:spacing w:after="0"/>
              <w:rPr>
                <w:sz w:val="15"/>
                <w:szCs w:val="15"/>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David B. Singer</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29,055</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12,761</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tcPr>
          <w:p>
            <w:pPr>
              <w:spacing w:after="0" w:line="149" w:lineRule="exact"/>
              <w:rPr>
                <w:sz w:val="20"/>
                <w:szCs w:val="20"/>
                <w:color w:val="auto"/>
              </w:rPr>
            </w:pPr>
            <w:r>
              <w:rPr>
                <w:rFonts w:ascii="Arial" w:cs="Arial" w:eastAsia="Arial" w:hAnsi="Arial"/>
                <w:sz w:val="14"/>
                <w:szCs w:val="14"/>
                <w:color w:val="auto"/>
              </w:rPr>
              <w:t>Price per common share equivalent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4.033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7.066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Dates of purchase</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May 1999</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January 2000</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w w:val="87"/>
              </w:rPr>
              <w:t>May 2001</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June 2001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December 2002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08"/>
        <w:spacing w:after="0" w:line="254" w:lineRule="auto"/>
        <w:tabs>
          <w:tab w:leader="none" w:pos="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number of shares and per share purchase price of the Series A and Series B convertible preferred stock have been adjusted to reflect the number of shares of common stock issuable upon conversion of such preferred stock and the related conversion price.</w:t>
      </w:r>
    </w:p>
    <w:p>
      <w:pPr>
        <w:ind w:left="460" w:hanging="452"/>
        <w:spacing w:after="0" w:line="20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G. Leonard Baker, Jr., one of our directors, is a managing director of the general partner of Sutter Hill Ventures.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Alix Marduel, one of our directors, is a managing director of Alta Partners, LLP.</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Steven Kapp, one of our directors, is a limited partner of Maverick Capital, Ltd.</w:t>
      </w:r>
    </w:p>
    <w:p>
      <w:pPr>
        <w:spacing w:after="0" w:line="8" w:lineRule="exact"/>
        <w:rPr>
          <w:rFonts w:ascii="Arial" w:cs="Arial" w:eastAsia="Arial" w:hAnsi="Arial"/>
          <w:sz w:val="22"/>
          <w:szCs w:val="22"/>
          <w:color w:val="auto"/>
          <w:vertAlign w:val="superscript"/>
        </w:rPr>
      </w:pPr>
    </w:p>
    <w:p>
      <w:pPr>
        <w:ind w:left="460" w:right="20" w:hanging="452"/>
        <w:spacing w:after="0" w:line="221"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James N. Wilson, the chairman of our board of directors, is a partner of the James and Pamela Wilson Family Partners, a California limited partnership, and is a trustee for certain of the trusts that hold Corcept securities.</w:t>
      </w:r>
    </w:p>
    <w:p>
      <w:pPr>
        <w:ind w:left="460" w:hanging="452"/>
        <w:spacing w:after="0" w:line="20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David B. Singer is a director of Corcept.</w:t>
      </w:r>
    </w:p>
    <w:p>
      <w:pPr>
        <w:spacing w:after="0" w:line="6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Shares held by all affiliated persons and entities have been aggregated. For additional details on the shares held by each of these purchasers, please refer to the information in this prospectus under the heading “Principal and Selling Stockholders.” Each share of preferred stock will convert automatically into common stock upon the closing of this offering. The purchasers of these shares are entitled to certain registration rights. See “Description of Capital Stock—Registration Rights.”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Officers and Directors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October 22, 2001, we made a loan in the amount of $187,250 to Dr. Roe. Dr. Roe exercised an option to purchase 250,000 shares of our common stock with this loan. In connection with this loan, we received a full-recourse promissory note in the amount of the loan, bearing interest at 6.5%. Principal and interest are due no later than October 1, 2011, subject to acceleration upon certain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Arrangements</w:t>
      </w:r>
    </w:p>
    <w:p>
      <w:pPr>
        <w:spacing w:after="0" w:line="83"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Drs. Belanoff and Schatzberg were named inventors on certain patents issued to Stanford University. Under two separate agreements with Stanford University, we have obtained exclusive rights, under these patents, for the treatment of diseases such as PMD. Pursuant to arrangements between Dr. Belanoff,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Dr. Schatzberg and Stanford University, Drs. Belanoff and Schatzberg will each receive approximately 14.2% of any royalty payments made by us under the licenses Stanford University has granted to us. These amounts will be paid by Stanford University.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lease office space pursuant to a sublease from Heller Ehrman White &amp; McAuliffe LLP, our legal counsel since inception. In connection with this sublease, we paid Heller Ehrman approximately $205,000 in 2003. Sarah A. O’Dowd, one of our directors until January 2004, is a shareholder of a professional corporation that is the general partner of the law firm of Heller Ehrman.</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we have executed all of the transactions set forth above on terms no less favorable to us than terms we could have obtained from unaffiliated third parties. We have adopted a policy that all future transactions, including loans, between us and our officers, directors, principal stockholders and their affiliates, must be approved by a majority of the board of directors, including a majority of the independent and disinterested members of the board of directors, and are on terms no less favorable to us than those that we could obtain from unaffiliated third parties.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amended and restated certificate of incorporation and bylaws provide that we will indemnify each of our directors and officers to the fullest extent permitted by Delaware Law. Further, we have entered into separate indemnification agreements with each of our directors and executive officers. For further information, see “Management—Indemnification.”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the beneficial ownership of our common stock as of March 31, 2004, and as adjusted to reflect the sale of shares of our common stock offered by this prospectus, by:</w:t>
      </w:r>
    </w:p>
    <w:p>
      <w:pPr>
        <w:spacing w:after="0" w:line="37" w:lineRule="exact"/>
        <w:rPr>
          <w:sz w:val="20"/>
          <w:szCs w:val="20"/>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own beneficially 5% or more of our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Beneficial ownership is determined in accordance with the rules of the Securities and Exchange Commission. All shares of our common stock subject to options currently exercisable or exercisable within 60 days of March 31, 2004 are deemed to be outstanding for the purpose of computing the percentage ownership of the person holding options, but are not deemed to be outstanding for computing the percentage of ownership of any other person.</w:t>
      </w:r>
    </w:p>
    <w:p>
      <w:pPr>
        <w:spacing w:after="0" w:line="1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Unless otherwise indicated by the footnotes below, we believe, based on the information furnished to us, that each stockholder named in the table has sole or shared voting and investment power with respect to all shares beneficially owned, subject to applicable community property laws. Percentage of ownership is based on 18,142,128 shares of common stock outstanding as of March 31, 2004 and 23,142,128 shares outstanding after this offering, assuming no exercise of the underwriters’ over-allotment option.</w:t>
      </w:r>
    </w:p>
    <w:p>
      <w:pPr>
        <w:spacing w:after="0" w:line="4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Selling Stockholder. </w:t>
      </w:r>
      <w:r>
        <w:rPr>
          <w:rFonts w:ascii="Arial" w:cs="Arial" w:eastAsia="Arial" w:hAnsi="Arial"/>
          <w:sz w:val="16"/>
          <w:szCs w:val="16"/>
          <w:color w:val="auto"/>
        </w:rPr>
        <w:t>Dr. Alan Schatzberg is the selling stockholder referred to in this prospectus. If Dr. Schatzberg sells 750,000 shares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underwriters’ over-allotment options, Dr. Schatzberg will beneficially own 2,229,346 shares, or 9.7%, of our common stock after this offering and our executive officers and directors as a group will beneficially own 15,627,342 shares, or 67.5%, of our common stock.</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Stockholders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Unless otherwise indicated in the footnotes to the table, the address of each individual listed in the table is: c/o Corcept Therapeutics Incorporated, 275 Middlefield Road, Suite A, Menlo Park, California 94025.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Percentage of Shares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Beneficially Owned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22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w w:val="89"/>
              </w:rPr>
              <w:t>Number of Shares</w:t>
            </w:r>
          </w:p>
        </w:tc>
        <w:tc>
          <w:tcPr>
            <w:tcW w:w="9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12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7"/>
              </w:rPr>
              <w:t>Beneficially Owned</w:t>
            </w:r>
          </w:p>
        </w:tc>
        <w:tc>
          <w:tcPr>
            <w:tcW w:w="21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7"/>
              </w:rPr>
              <w:t>Before Offering</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After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 Stockholders</w:t>
            </w: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3"/>
                <w:szCs w:val="13"/>
                <w:color w:val="auto"/>
              </w:rPr>
              <w:t>Sutter Hill Ventures</w:t>
            </w:r>
            <w:r>
              <w:rPr>
                <w:rFonts w:ascii="Arial" w:cs="Arial" w:eastAsia="Arial" w:hAnsi="Arial"/>
                <w:sz w:val="20"/>
                <w:szCs w:val="20"/>
                <w:color w:val="auto"/>
                <w:vertAlign w:val="superscript"/>
              </w:rPr>
              <w:t>(1)</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4,036,317</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22.3%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Maverick Capital, Ltd.</w:t>
            </w:r>
            <w:r>
              <w:rPr>
                <w:rFonts w:ascii="Arial" w:cs="Arial" w:eastAsia="Arial" w:hAnsi="Arial"/>
                <w:sz w:val="20"/>
                <w:szCs w:val="20"/>
                <w:color w:val="auto"/>
                <w:vertAlign w:val="superscript"/>
              </w:rPr>
              <w:t>(2)</w:t>
            </w:r>
          </w:p>
        </w:tc>
        <w:tc>
          <w:tcPr>
            <w:tcW w:w="22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2,122,841</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11.7%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gridSpan w:val="3"/>
          </w:tcPr>
          <w:p>
            <w:pPr>
              <w:spacing w:after="0" w:line="243" w:lineRule="exact"/>
              <w:rPr>
                <w:sz w:val="20"/>
                <w:szCs w:val="20"/>
                <w:color w:val="auto"/>
              </w:rPr>
            </w:pPr>
            <w:r>
              <w:rPr>
                <w:rFonts w:ascii="Arial" w:cs="Arial" w:eastAsia="Arial" w:hAnsi="Arial"/>
                <w:sz w:val="14"/>
                <w:szCs w:val="14"/>
                <w:color w:val="auto"/>
              </w:rPr>
              <w:t>Entities affiliated with Alta Partners, LLP</w:t>
            </w:r>
            <w:r>
              <w:rPr>
                <w:rFonts w:ascii="Arial" w:cs="Arial" w:eastAsia="Arial" w:hAnsi="Arial"/>
                <w:sz w:val="22"/>
                <w:szCs w:val="22"/>
                <w:color w:val="auto"/>
                <w:vertAlign w:val="superscript"/>
              </w:rPr>
              <w:t>(3)</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1,698,274</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9.4%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 and Named Executive Officers</w:t>
            </w: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3"/>
                <w:szCs w:val="13"/>
                <w:color w:val="auto"/>
              </w:rPr>
              <w:t>Joseph K. Belanoff</w:t>
            </w:r>
            <w:r>
              <w:rPr>
                <w:rFonts w:ascii="Arial" w:cs="Arial" w:eastAsia="Arial" w:hAnsi="Arial"/>
                <w:sz w:val="20"/>
                <w:szCs w:val="20"/>
                <w:color w:val="auto"/>
                <w:vertAlign w:val="superscript"/>
              </w:rPr>
              <w:t>(4)</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3,004,345</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16.6%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Alan Schatzberg</w:t>
            </w:r>
            <w:r>
              <w:rPr>
                <w:rFonts w:ascii="Arial" w:cs="Arial" w:eastAsia="Arial" w:hAnsi="Arial"/>
                <w:sz w:val="20"/>
                <w:szCs w:val="20"/>
                <w:color w:val="auto"/>
                <w:vertAlign w:val="superscript"/>
              </w:rPr>
              <w:t>(5)</w:t>
            </w:r>
          </w:p>
        </w:tc>
        <w:tc>
          <w:tcPr>
            <w:tcW w:w="22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3,004,346</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16.6%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3"/>
                <w:szCs w:val="13"/>
                <w:color w:val="auto"/>
              </w:rPr>
              <w:t>G. Leonard Baker, Jr.</w:t>
            </w:r>
            <w:r>
              <w:rPr>
                <w:rFonts w:ascii="Arial" w:cs="Arial" w:eastAsia="Arial" w:hAnsi="Arial"/>
                <w:sz w:val="20"/>
                <w:szCs w:val="20"/>
                <w:color w:val="auto"/>
                <w:vertAlign w:val="superscript"/>
              </w:rPr>
              <w:t>(6)</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2,775,169</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15.3%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James N. Wilson</w:t>
            </w:r>
            <w:r>
              <w:rPr>
                <w:rFonts w:ascii="Arial" w:cs="Arial" w:eastAsia="Arial" w:hAnsi="Arial"/>
                <w:sz w:val="20"/>
                <w:szCs w:val="20"/>
                <w:color w:val="auto"/>
                <w:vertAlign w:val="superscript"/>
              </w:rPr>
              <w:t>(7)</w:t>
            </w:r>
          </w:p>
        </w:tc>
        <w:tc>
          <w:tcPr>
            <w:tcW w:w="22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2,368,377</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13.1%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3"/>
                <w:szCs w:val="13"/>
                <w:color w:val="auto"/>
              </w:rPr>
              <w:t>Steven Kapp</w:t>
            </w:r>
            <w:r>
              <w:rPr>
                <w:rFonts w:ascii="Arial" w:cs="Arial" w:eastAsia="Arial" w:hAnsi="Arial"/>
                <w:sz w:val="20"/>
                <w:szCs w:val="20"/>
                <w:color w:val="auto"/>
                <w:vertAlign w:val="superscript"/>
              </w:rPr>
              <w:t>(8)</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0</w:t>
            </w:r>
          </w:p>
        </w:tc>
        <w:tc>
          <w:tcPr>
            <w:tcW w:w="2120" w:type="dxa"/>
            <w:vAlign w:val="bottom"/>
            <w:gridSpan w:val="2"/>
          </w:tcPr>
          <w:p>
            <w:pPr>
              <w:jc w:val="right"/>
              <w:ind w:right="12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Alix Marduel</w:t>
            </w:r>
            <w:r>
              <w:rPr>
                <w:rFonts w:ascii="Arial" w:cs="Arial" w:eastAsia="Arial" w:hAnsi="Arial"/>
                <w:sz w:val="20"/>
                <w:szCs w:val="20"/>
                <w:color w:val="auto"/>
                <w:vertAlign w:val="superscript"/>
              </w:rPr>
              <w:t>(9)</w:t>
            </w:r>
          </w:p>
        </w:tc>
        <w:tc>
          <w:tcPr>
            <w:tcW w:w="22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1,698,274</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3"/>
                <w:szCs w:val="13"/>
                <w:color w:val="auto"/>
              </w:rPr>
              <w:t>David B. Singer</w:t>
            </w:r>
            <w:r>
              <w:rPr>
                <w:rFonts w:ascii="Arial" w:cs="Arial" w:eastAsia="Arial" w:hAnsi="Arial"/>
                <w:sz w:val="20"/>
                <w:szCs w:val="20"/>
                <w:color w:val="auto"/>
                <w:vertAlign w:val="superscript"/>
              </w:rPr>
              <w:t>(10)</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821,816</w:t>
            </w: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4.5%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Robert L. Roe</w:t>
            </w:r>
            <w:r>
              <w:rPr>
                <w:rFonts w:ascii="Arial" w:cs="Arial" w:eastAsia="Arial" w:hAnsi="Arial"/>
                <w:sz w:val="20"/>
                <w:szCs w:val="20"/>
                <w:color w:val="auto"/>
                <w:vertAlign w:val="superscript"/>
              </w:rPr>
              <w:t>(11)</w:t>
            </w:r>
          </w:p>
        </w:tc>
        <w:tc>
          <w:tcPr>
            <w:tcW w:w="22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389,188</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3"/>
                <w:szCs w:val="13"/>
                <w:color w:val="auto"/>
              </w:rPr>
              <w:t>Joseph C. Cook</w:t>
            </w:r>
            <w:r>
              <w:rPr>
                <w:rFonts w:ascii="Arial" w:cs="Arial" w:eastAsia="Arial" w:hAnsi="Arial"/>
                <w:sz w:val="20"/>
                <w:szCs w:val="20"/>
                <w:color w:val="auto"/>
                <w:vertAlign w:val="superscript"/>
              </w:rPr>
              <w:t>(12)</w:t>
            </w:r>
          </w:p>
        </w:tc>
        <w:tc>
          <w:tcPr>
            <w:tcW w:w="2220" w:type="dxa"/>
            <w:vAlign w:val="bottom"/>
            <w:gridSpan w:val="2"/>
          </w:tcPr>
          <w:p>
            <w:pPr>
              <w:jc w:val="right"/>
              <w:ind w:right="1080"/>
              <w:spacing w:after="0"/>
              <w:rPr>
                <w:sz w:val="20"/>
                <w:szCs w:val="20"/>
                <w:color w:val="auto"/>
              </w:rPr>
            </w:pPr>
            <w:r>
              <w:rPr>
                <w:rFonts w:ascii="Arial" w:cs="Arial" w:eastAsia="Arial" w:hAnsi="Arial"/>
                <w:sz w:val="14"/>
                <w:szCs w:val="14"/>
                <w:color w:val="auto"/>
              </w:rPr>
              <w:t>75,000</w:t>
            </w:r>
          </w:p>
        </w:tc>
        <w:tc>
          <w:tcPr>
            <w:tcW w:w="2120" w:type="dxa"/>
            <w:vAlign w:val="bottom"/>
            <w:gridSpan w:val="2"/>
          </w:tcPr>
          <w:p>
            <w:pPr>
              <w:jc w:val="right"/>
              <w:ind w:right="12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CCEEFF"/>
          </w:tcPr>
          <w:p>
            <w:pPr>
              <w:spacing w:after="0" w:line="176" w:lineRule="exact"/>
              <w:rPr>
                <w:sz w:val="20"/>
                <w:szCs w:val="20"/>
                <w:color w:val="auto"/>
              </w:rPr>
            </w:pPr>
            <w:r>
              <w:rPr>
                <w:rFonts w:ascii="Arial" w:cs="Arial" w:eastAsia="Arial" w:hAnsi="Arial"/>
                <w:sz w:val="13"/>
                <w:szCs w:val="13"/>
                <w:color w:val="auto"/>
              </w:rPr>
              <w:t>All directors and executive officers as a group (10 persons)</w:t>
            </w:r>
            <w:r>
              <w:rPr>
                <w:rFonts w:ascii="Arial" w:cs="Arial" w:eastAsia="Arial" w:hAnsi="Arial"/>
                <w:sz w:val="20"/>
                <w:szCs w:val="20"/>
                <w:color w:val="auto"/>
                <w:vertAlign w:val="superscript"/>
              </w:rPr>
              <w:t>(13)</w:t>
            </w:r>
          </w:p>
        </w:tc>
        <w:tc>
          <w:tcPr>
            <w:tcW w:w="22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14,136,515</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4"/>
                <w:szCs w:val="14"/>
                <w:color w:val="auto"/>
              </w:rPr>
              <w:t>77.6%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08"/>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1% of Corcept’s outstanding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9" w:lineRule="auto"/>
        <w:tabs>
          <w:tab w:leader="none" w:pos="46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Includes 22,422 shares held of record by Sutter Hill Entrepreneurs Fund (AI), LP, 56,768 shares held of record by Sutter Hill Entrepreneurs Fund (QP), LP and 2,216,188 shares held of record by Sutter Hill Ventures, a California limited partnership over which Mr. Baker, a member of our board of directors and a managing director of the general partner of the Sutter Hill Ventures, shares voting and investment power with seven other managing directors of the general partner of the partnerships mentioned herein. Also includes 1,261,148 shares held of record by seven other managing directors, one retired managing director and their related family entities and 479,791 shares held of record by Mr. Baker and a related family entity. The address of Sutter Hill Ventures is 755 Page Mill Road, Suite A-200, Palo Alto, California 94304-5600. The natural persons who have voting or investment power over the shares held of record by Sutter Hill Ventures are David L. Anderson, G. Leonard Baker, Jr., William H. Younger, Jr., Tench Coxe, Gregory P. Sands, James C. Gaither, James N. White and Jeffrey W. Bird. Each of the managing directors disclaims beneficial ownership of the shares listed above except to the extent of his individual pecuniary interest therein.</w:t>
      </w:r>
    </w:p>
    <w:p>
      <w:pPr>
        <w:spacing w:after="0" w:line="2" w:lineRule="exact"/>
        <w:rPr>
          <w:rFonts w:ascii="Arial" w:cs="Arial" w:eastAsia="Arial" w:hAnsi="Arial"/>
          <w:sz w:val="21"/>
          <w:szCs w:val="21"/>
          <w:color w:val="auto"/>
          <w:vertAlign w:val="superscript"/>
        </w:rPr>
      </w:pPr>
    </w:p>
    <w:p>
      <w:pPr>
        <w:ind w:left="460" w:right="60" w:hanging="452"/>
        <w:spacing w:after="0" w:line="255" w:lineRule="auto"/>
        <w:tabs>
          <w:tab w:leader="none" w:pos="46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Includes 194,999 shares held of record by Maverick Fund II, Ltd., 607,398 shares held of record by Maverick Fund USA, Ltd., and 1,320,444 shares held of record by Maverick Fund, L.D.C. Maverick Capital, Ltd. is an investment adviser registered under Section 203 of the Investment Advisers Act of 1940 and, as such, has beneficial ownership of the shares held by Maverick Fund USA, Ltd., Maverick Fund II, Ltd. and Maverick Fund, L.D.C. through the investment discretion it exercises over these accounts. Maverick Capital Management, LLC is the General Partner of Maverick Capital, Ltd. Lee S. Ainslie III is a manager of Maverick Capital Management, LLC, and is granted sole investment discretion pursuant to Maverick Capital Management, LLC’s Regulations. The address of Maverick Capital, Ltd. is 300 Crescent Court, 18th Floor, Dallas, TX 75201.</w:t>
      </w:r>
    </w:p>
    <w:p>
      <w:pPr>
        <w:spacing w:after="0" w:line="1" w:lineRule="exact"/>
        <w:rPr>
          <w:rFonts w:ascii="Arial" w:cs="Arial" w:eastAsia="Arial" w:hAnsi="Arial"/>
          <w:sz w:val="21"/>
          <w:szCs w:val="21"/>
          <w:color w:val="auto"/>
          <w:vertAlign w:val="superscript"/>
        </w:rPr>
      </w:pPr>
    </w:p>
    <w:p>
      <w:pPr>
        <w:jc w:val="both"/>
        <w:ind w:left="460" w:right="80" w:hanging="452"/>
        <w:spacing w:after="0" w:line="260" w:lineRule="auto"/>
        <w:tabs>
          <w:tab w:leader="none" w:pos="46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Includes 1,632,012 shares held of record by Alta BioPharma Partners II, LP and 66,262 shares held of record by Alta Embarcadero BioPharma Partners II, LLC. The address of Alta Partners, LLP is One Embarcadero Center, Suite 4050, San Francisco, California 94111. The natural persons affiliated with Alta Partners LLP who have voting or investment power over these shares are Jean Deleage, Alix Marduel, Farah Champsi and Hilary Strain.</w:t>
      </w:r>
    </w:p>
    <w:p>
      <w:pPr>
        <w:ind w:left="460" w:right="60" w:hanging="452"/>
        <w:spacing w:after="0" w:line="225"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300,000 shares held as custodian for Edward G. Belanoff and 300,000 shares held as custodian for Julia E. Belanoff under the California Uniform Transfers to Minors Act over which Dr. Belanoff has voting control.</w:t>
      </w:r>
    </w:p>
    <w:p>
      <w:pPr>
        <w:ind w:left="460" w:right="140" w:hanging="452"/>
        <w:spacing w:after="0" w:line="225"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300,000 shares held of record by Lindsey D. Schatzberg and 300,000 shares held of record by Melissa A. Schatzberg, over which Dr. Schatzberg has voting control.</w:t>
      </w:r>
    </w:p>
    <w:p>
      <w:pPr>
        <w:ind w:left="460" w:hanging="452"/>
        <w:spacing w:after="0" w:line="255" w:lineRule="auto"/>
        <w:tabs>
          <w:tab w:leader="none" w:pos="46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Includes 22,422 shares held of record by Sutter Hill Entrepreneurs Fund (AI), LP, 56,768 shares held of record by Sutter Hill Entrepreneurs Fund (QP), LP and 2,216,188 shares held of record by Sutter Hill Ventures, a California limited partnership over which Mr. Baker, a member of our board of directors and a managing director of the general partner of the partnerships mentioned herein, shares voting and investment power with seven other managing directors of the general partner of the partnerships mentioned herein. Also includes 479,791 shares held of record by Mr. Baker and a related family entity. Mr. Baker disclaims beneficial ownership of the shares listed above, except to the extent of his individual pecuniary interest therein. The address of G. Leonard Baker, Jr. is 755 Page Mill Road, Suite A-200, Palo Alto, California 94304-1005.</w:t>
      </w:r>
    </w:p>
    <w:p>
      <w:pPr>
        <w:spacing w:after="0" w:line="1" w:lineRule="exact"/>
        <w:rPr>
          <w:rFonts w:ascii="Arial" w:cs="Arial" w:eastAsia="Arial" w:hAnsi="Arial"/>
          <w:sz w:val="21"/>
          <w:szCs w:val="21"/>
          <w:color w:val="auto"/>
          <w:vertAlign w:val="superscript"/>
        </w:rPr>
      </w:pPr>
    </w:p>
    <w:p>
      <w:pPr>
        <w:ind w:left="460" w:hanging="452"/>
        <w:spacing w:after="0" w:line="258" w:lineRule="auto"/>
        <w:tabs>
          <w:tab w:leader="none" w:pos="46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Includes 606,060 shares held of record by the James and Pamela Wilson Family Partners, 1,588,094 shares held of record by the James N. Wilson and Pamela D. Wilson Trust, 25,243 shares held of record by David Wilson, 6,358 shares held of record by the Norman and Ann Wilson Family Trust, 37,776 shares held of record by David K. Arterburn and Edith A. Watters, as trustees of the Arterburn/Watters Trust, 37,776 shares held of record by Edward M. West and Beth Ann Wilson West, and 67,070 shares held of record by Edward M. West and Beth Ann Wilson as trustees of the West Revocable Trust, over all of which Mr. Wilson has voting control pursuant to voting agreements. Mr. Wilson disclaims beneficial ownership of such shares, except to the extent of his pecuniary interests in the entities holding such shares.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40" w:hanging="452"/>
        <w:spacing w:after="0" w:line="228"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Mr. Kapp is a limited partner of Maverick Capital, Ltd. The address of Steven Kapp is c/o MCL Corporation, 610 W. Germantown Pike, Suite 170, Plymouth Meeting, PA 19462.</w:t>
      </w:r>
    </w:p>
    <w:p>
      <w:pPr>
        <w:spacing w:after="0" w:line="1" w:lineRule="exact"/>
        <w:rPr>
          <w:rFonts w:ascii="Arial" w:cs="Arial" w:eastAsia="Arial" w:hAnsi="Arial"/>
          <w:sz w:val="22"/>
          <w:szCs w:val="22"/>
          <w:color w:val="auto"/>
          <w:vertAlign w:val="superscript"/>
        </w:rPr>
      </w:pPr>
    </w:p>
    <w:p>
      <w:pPr>
        <w:ind w:left="460" w:hanging="452"/>
        <w:spacing w:after="0" w:line="239"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1,632,012 shares held of record by Alta BioPharma Partners II, LP and 66,262 shares held of record by Alta Embarcadero BioPharma Partners II, LLC. Dr. Marduel and certain principals of Alta Partners LLP are Managing Directors of the funds mentioned herein, and as such, they may be deemed to share voting and investment powers for the shares held by the funds. The principals of Alta Partners LLP disclaim beneficial ownership of all such shares held by the foregoing funds, except to the extent of their pecuniary interests in such funds. The address of Alix Marduel is One Embarcadero Center, Suite 4050, San Francisco, California 94111.</w:t>
      </w:r>
    </w:p>
    <w:p>
      <w:pPr>
        <w:spacing w:after="0" w:line="4"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40,000 shares held of record by the Singer-Kapp Family Trust FBO Kapp S. Singer.</w:t>
      </w:r>
    </w:p>
    <w:p>
      <w:pPr>
        <w:spacing w:after="0" w:line="7" w:lineRule="exact"/>
        <w:rPr>
          <w:rFonts w:ascii="Arial" w:cs="Arial" w:eastAsia="Arial" w:hAnsi="Arial"/>
          <w:sz w:val="22"/>
          <w:szCs w:val="22"/>
          <w:color w:val="auto"/>
          <w:vertAlign w:val="superscript"/>
        </w:rPr>
      </w:pPr>
    </w:p>
    <w:p>
      <w:pPr>
        <w:ind w:left="460" w:right="160" w:hanging="452"/>
        <w:spacing w:after="0" w:line="221"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7,181 shares issuable pursuant to options exercisable within 60 days of March 31, 2004 and includes 229,325 shares which we have the right to repurchase within 60 days of March 31, 2004.</w:t>
      </w:r>
    </w:p>
    <w:p>
      <w:pPr>
        <w:ind w:left="460" w:right="40" w:hanging="452"/>
        <w:spacing w:after="0" w:line="22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75,000 shares issuable pursuant to options exercisable within 60 days of March 31, 2004, of which our right to repurchase will have elapsed with respect to 20,855 shares.</w:t>
      </w:r>
    </w:p>
    <w:p>
      <w:pPr>
        <w:ind w:left="460" w:hanging="452"/>
        <w:spacing w:after="0" w:line="225" w:lineRule="auto"/>
        <w:tabs>
          <w:tab w:leader="none" w:pos="460" w:val="left"/>
        </w:tabs>
        <w:numPr>
          <w:ilvl w:val="0"/>
          <w:numId w:val="37"/>
        </w:numPr>
        <w:rPr>
          <w:rFonts w:ascii="Arial" w:cs="Arial" w:eastAsia="Arial" w:hAnsi="Arial"/>
          <w:sz w:val="20"/>
          <w:szCs w:val="20"/>
          <w:color w:val="auto"/>
          <w:vertAlign w:val="superscript"/>
        </w:rPr>
      </w:pPr>
      <w:r>
        <w:rPr>
          <w:rFonts w:ascii="Arial" w:cs="Arial" w:eastAsia="Arial" w:hAnsi="Arial"/>
          <w:sz w:val="16"/>
          <w:szCs w:val="16"/>
          <w:color w:val="auto"/>
        </w:rPr>
        <w:t>Total number of shares includes common stock held by entities affiliated with directors and executive officers. See footnotes 1 through 12 above.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Upon the closing of this offering, our authorized capital stock, after giving effect to the amendment and restatement of our certificate of incorporation, will consist of 140,000,000 shares of common stock, $0.001 par value, and 10,000,000 shares of preferred stock, $0.001 par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40" w:firstLine="456"/>
        <w:spacing w:after="0" w:line="331" w:lineRule="auto"/>
        <w:rPr>
          <w:sz w:val="20"/>
          <w:szCs w:val="20"/>
          <w:color w:val="auto"/>
        </w:rPr>
      </w:pPr>
      <w:r>
        <w:rPr>
          <w:rFonts w:ascii="Arial" w:cs="Arial" w:eastAsia="Arial" w:hAnsi="Arial"/>
          <w:sz w:val="15"/>
          <w:szCs w:val="15"/>
          <w:color w:val="auto"/>
        </w:rPr>
        <w:t>As of March 31, 2004, there were 18,142,128 shares of common stock that were held of record by approximately 100 stockholders after giving effect to the conversion of our preferred stock into common stock. There will be 23,142,128 shares of common stock outstanding, assuming no exercise of the underwriters’ over-allotment option and no exercise of outstanding options, after giving effect to the sale of the shares of common stock offered by this prospectus.</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and each holder does not have cumulative voting rights. Accordingly, the holders of a majority of the shares of common stock entitled to vote in any election of directors can elect all of the directors standing for election, if they so choose.</w:t>
      </w:r>
    </w:p>
    <w:p>
      <w:pPr>
        <w:spacing w:after="0" w:line="4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Subject to preferences that may be applicable to any then 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outstanding shares of preferred stock.</w:t>
      </w:r>
    </w:p>
    <w:p>
      <w:pPr>
        <w:spacing w:after="0" w:line="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Holders of common stock have no preemptive or conversion rights or other subscription rights, and there are no redemption or sinking fund provisions applicable to the common stock. All outstanding shares of common stock are, and the shares of common stock offered by us in this offering, when issued and paid for, will be fully paid and nonassessable. The rights, preferences and privileges of the holders of common stock are subject to, and may be adversely affected by, the rights of the holders of shares of any series of preferred stock which we may designate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Upon the closing of this offering, the board of directors will be authorized, subject to any limitations prescribed by law, without stockholder approval, to issue up to an aggregate of 10,000,000 shares of preferred stock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and may be adversely affected by, the rights of holders of any preferred stock that may be issued in the future. Issuance of preferred stock, while providing flexibility in connection with possible acquisitions and other corporate purposes, could have the effect of delaying, deferring or preventing a change in control of Corcept. We have no present plans to issue any shares of preferred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January 2001, we issued a convertible promissory note to the Institute for the Study of Aging, Inc., the principal amount of which is $462,929 and which accrues interest at 4.5% per annum. The note and accrued interest may be converted once, upon the first to occur of our initial public offering, a merger or acquisition of our company or FDA approval to market mifepristone for the treatment of Alzheimer’s disease. The method for determining the conversion price differs with respect to each of the foregoing events. In the case of our initial public offering, the conversion price will be the initial public offering price. Within 60 days of the closing of the offering, we must provide notice of the offering to the noteholder and the noteholder will then have 60 days from the date of the notice to exercise its option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convert the note into shares of our common stock. If the noteholder declines to convert the note in connection with this offering, the note will no longer be convertible and will be payable on demand any time after January 4,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this offering, the holders of preferred stock convertible into 8,807,146 shares of common stock will be entitled to rights to cause us to register the sale of such shares under the Securities Act. These shares are referred to as registrable securities. Specifically, commencing 180 days after the effective date of the registration statement of which this prospectus is a part, holders of at least 50% of the registrable securities may require us to prepare and file a registration statement under the Securities Act at our expense covering at least 50% of the registrable securities then outstanding, or any lesser amount if the shares to be included in such registration will generate anticipated aggregate net proceeds to Corcept of at least $10,000,000.</w:t>
      </w:r>
    </w:p>
    <w:p>
      <w:pPr>
        <w:spacing w:after="0" w:line="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these demand registration rights, we are required to use our best efforts to cause the shares requested to be included in the registration statement, subject to customary conditions and limitations. We are not obligated to effect more than one of these stockholder-initiated registrations. Once we become eligible to file a registration statement on Form S-3, the holders of at least one-third of the registrable securities may require us to register for a public offering of shares of registrable securities on a registration statement on Form S-3 and may participate in certain registrations by us, subject to specific conditions and limitations. Registration rights terminate no later than four years after this offering. Registration of these shares under the Securities Act would result in these shares, other than shares purchased by our affiliates, becoming freely tradable without restriction under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Certain Provisions of our Amended and Restated Certificate of Incorporation and Bylaws and the Delaware Anti-Takeover Statute</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Amended and Restated Certificate of Incorporation and Bylaws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Some provisions of Delaware law and our amended and restated certificate of incorporation and bylaws contain provisions that could make the following transactions more difficult:</w:t>
      </w:r>
    </w:p>
    <w:p>
      <w:pPr>
        <w:spacing w:after="0" w:line="37"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77"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spacing w:after="0" w:line="1" w:lineRule="exact"/>
        <w:rPr>
          <w:sz w:val="20"/>
          <w:szCs w:val="20"/>
          <w:color w:val="auto"/>
        </w:rPr>
      </w:pPr>
    </w:p>
    <w:p>
      <w:pPr>
        <w:ind w:left="800" w:right="40" w:hanging="346"/>
        <w:spacing w:after="0" w:line="306"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The ability to authorize undesignated preferred stock makes it possible for our board of directors to issue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preferred stock with voting or other rights or preferences that could impede the success of any attempt to change control of Corcept. These and other provisions may have the effect of deferring hostile takeovers or delaying changes in control or management of our company.</w:t>
      </w:r>
    </w:p>
    <w:p>
      <w:pPr>
        <w:spacing w:after="0" w:line="12"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Stockholder Meetings</w:t>
      </w:r>
      <w:r>
        <w:rPr>
          <w:rFonts w:ascii="Arial" w:cs="Arial" w:eastAsia="Arial" w:hAnsi="Arial"/>
          <w:sz w:val="18"/>
          <w:szCs w:val="18"/>
          <w:color w:val="auto"/>
        </w:rPr>
        <w:t>. Our charter documents provide that a special meeting of stockholders may be called only by the chairman of the board or by</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or by a resolution adopted by a majority of our board of directors.</w:t>
      </w:r>
    </w:p>
    <w:p>
      <w:pPr>
        <w:spacing w:after="0" w:line="37" w:lineRule="exact"/>
        <w:rPr>
          <w:rFonts w:ascii="Arial" w:cs="Arial" w:eastAsia="Arial" w:hAnsi="Arial"/>
          <w:sz w:val="18"/>
          <w:szCs w:val="18"/>
          <w:color w:val="auto"/>
        </w:rPr>
      </w:pPr>
    </w:p>
    <w:p>
      <w:pPr>
        <w:ind w:left="800" w:right="160" w:hanging="346"/>
        <w:spacing w:after="0" w:line="259"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Our bylaws establish advance notice procedures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hanging="346"/>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amended and restated certificate of incorporation eliminates the right of stockholders to</w:t>
      </w:r>
      <w:r>
        <w:rPr>
          <w:rFonts w:ascii="Arial" w:cs="Arial" w:eastAsia="Arial" w:hAnsi="Arial"/>
          <w:sz w:val="18"/>
          <w:szCs w:val="18"/>
          <w:i w:val="1"/>
          <w:iCs w:val="1"/>
          <w:color w:val="auto"/>
        </w:rPr>
        <w:t xml:space="preserve"> </w:t>
      </w:r>
      <w:r>
        <w:rPr>
          <w:rFonts w:ascii="Arial" w:cs="Arial" w:eastAsia="Arial" w:hAnsi="Arial"/>
          <w:sz w:val="18"/>
          <w:szCs w:val="18"/>
          <w:color w:val="auto"/>
        </w:rPr>
        <w:t>act by written consent without a meeting.</w:t>
      </w:r>
    </w:p>
    <w:p>
      <w:pPr>
        <w:spacing w:after="0" w:line="37" w:lineRule="exact"/>
        <w:rPr>
          <w:rFonts w:ascii="Arial" w:cs="Arial" w:eastAsia="Arial" w:hAnsi="Arial"/>
          <w:sz w:val="18"/>
          <w:szCs w:val="18"/>
          <w:color w:val="auto"/>
        </w:rPr>
      </w:pPr>
    </w:p>
    <w:p>
      <w:pPr>
        <w:ind w:left="800" w:right="180" w:hanging="346"/>
        <w:spacing w:after="0" w:line="22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Amendment of Bylaws</w:t>
      </w:r>
      <w:r>
        <w:rPr>
          <w:rFonts w:ascii="Arial" w:cs="Arial" w:eastAsia="Arial" w:hAnsi="Arial"/>
          <w:sz w:val="18"/>
          <w:szCs w:val="18"/>
          <w:color w:val="auto"/>
        </w:rPr>
        <w:t>. Any amendment of our bylaws by our stockholders requires approval by holders of at least 66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our then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voting together as a single class.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Delaware Anti-Takeover Statute</w:t>
      </w:r>
    </w:p>
    <w:p>
      <w:pPr>
        <w:spacing w:after="0" w:line="77" w:lineRule="exact"/>
        <w:rPr>
          <w:sz w:val="20"/>
          <w:szCs w:val="20"/>
          <w:color w:val="auto"/>
        </w:rPr>
      </w:pPr>
    </w:p>
    <w:p>
      <w:pPr>
        <w:ind w:right="60" w:firstLine="456"/>
        <w:spacing w:after="0" w:line="347" w:lineRule="auto"/>
        <w:rPr>
          <w:sz w:val="20"/>
          <w:szCs w:val="20"/>
          <w:color w:val="auto"/>
        </w:rPr>
      </w:pPr>
      <w:r>
        <w:rPr>
          <w:rFonts w:ascii="Arial" w:cs="Arial" w:eastAsia="Arial" w:hAnsi="Arial"/>
          <w:sz w:val="15"/>
          <w:szCs w:val="15"/>
          <w:color w:val="auto"/>
        </w:rPr>
        <w:t>We are subject to Section 203 of the Delaware General Corporation Law. This law prohibits a publicly-held Delaware corporation from engaging in any business combination with any interested stockholder for a period of three years following the date that the stockholder became an interested stockholder unless:</w:t>
      </w:r>
    </w:p>
    <w:p>
      <w:pPr>
        <w:spacing w:after="0" w:line="1" w:lineRule="exact"/>
        <w:rPr>
          <w:sz w:val="20"/>
          <w:szCs w:val="20"/>
          <w:color w:val="auto"/>
        </w:rPr>
      </w:pPr>
    </w:p>
    <w:p>
      <w:pPr>
        <w:ind w:left="80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7" w:lineRule="exact"/>
        <w:rPr>
          <w:rFonts w:ascii="Arial" w:cs="Arial" w:eastAsia="Arial" w:hAnsi="Arial"/>
          <w:sz w:val="18"/>
          <w:szCs w:val="18"/>
          <w:color w:val="auto"/>
        </w:rPr>
      </w:pPr>
    </w:p>
    <w:p>
      <w:pPr>
        <w:ind w:left="800" w:right="40" w:hanging="346"/>
        <w:spacing w:after="0" w:line="323" w:lineRule="auto"/>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5"/>
          <w:szCs w:val="15"/>
          <w:color w:val="auto"/>
        </w:rPr>
      </w:pPr>
    </w:p>
    <w:p>
      <w:pPr>
        <w:jc w:val="both"/>
        <w:ind w:left="800" w:right="120" w:hanging="346"/>
        <w:spacing w:after="0" w:line="259"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77" w:lineRule="exact"/>
        <w:rPr>
          <w:sz w:val="20"/>
          <w:szCs w:val="20"/>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our assets involving the interested stockholder;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general, any transaction that results in the issuance or transfer by us of any of our stock to the interested stockholder; or</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3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the entity or person.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could adversely affect prevailing market prices. Furthermore, a large number of our shares of common stock outstanding will not be available for sale shortly after this offering because of contractual and legal restrictions on resale as described below. Sales of substantial amounts of our common stock in the public market after these restrictions lapse, or the perception that such sales may occur, could depress the prevailing market price and limit our ability to raise equity capital in the future.</w:t>
      </w:r>
    </w:p>
    <w:p>
      <w:pPr>
        <w:spacing w:after="0" w:line="4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Upon completion of this offering, we will have outstanding an aggregate of 23,142,128 shares of common stock, based upon the shares outstanding as of March 31, 2004, assuming no exercise of the underwriters’ over-allotment option and no exercise of outstanding options prior to completion of this offering. Of the total outstanding shares, the 5,000,000 shares sold in this offering will be freely tradable without restriction or further registration under the Securities Act, except that any shares held by our affiliates, as that term is defined under the Securities Act, may generally only be sold in accordance with Rule 144 of the Securities 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remaining 18,142,128 shares of common stock held by existing stockholders were issued and sold by us in reliance on exemptions from the registration requirements of the Securities Act. All of these shares will be subject to “lock-up” agreements under which the holders have agreed not to offer, sell or otherwise dispose of any of the shares of common stock owned by them for a period of 180 days after the completion of this offering. Thomas Weisel Partners, however, may in its sole discretion, at any time without notice, release all or any portion of the shares subject to lock-up agreements. Upon expiration of the lock-up agreements, 2,257,694 shares will become eligible for sale pursuant to Rule 144(k), 15,750,141 shares will become eligible for sale under Rule 144 and 134,293 shares will become eligible for sale under Rule 701. In addition, of the 730,500 shares issuable upon exercise of options to purchase our common stock outstanding as of March 31, 2004, approximately 163,275 shares will be vested and eligible for sale 180 days after the date of this prospectus.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the completion of this offering, we intend to file a registration statement on Form S-8 under the Securities Act to register all of the shares of common stock subject to issuance of options outstanding or reserved for future issuance under our 2000 Stock Option Plan and 2004 Equity Incentive Plan. Based upon the number of shares subject to outstanding options as of March 31, 2004 and the shares reserved for issuance under our 2000 Stock Option Plan and 2004 Equity Incentive Plan, the registration statement on Form S-8 would cover approximately 3,730,500 shares. Shares registered under that registration statement will generally be available for sale in the open market immediately after the 180 day lock-up agreements expire.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After this offering, the holders of an aggregate of approximately 8.8 million shares of our common stock will have the right to require us to register these shares under the Securities Act under certain circumstances. After registration, the shares will be freely tradable without restriction under the Securities Act. For more information regarding these registration rights, see “Description of Capital Stock—Registration Rights.”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general, under Rule 144 as currently in effect, beginning 180 days after the date of this prospectus, a person who has beneficially owned restricted securities for at least one year and is not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affiliate would be entitled to sell in “broker’s transactions” or to market makers, within any three-month period, a number of shares that does not exceed the greater of:</w:t>
      </w:r>
    </w:p>
    <w:p>
      <w:pPr>
        <w:spacing w:after="0" w:line="37" w:lineRule="exact"/>
        <w:rPr>
          <w:sz w:val="20"/>
          <w:szCs w:val="20"/>
          <w:color w:val="auto"/>
        </w:rPr>
      </w:pPr>
    </w:p>
    <w:p>
      <w:pPr>
        <w:ind w:left="800" w:hanging="346"/>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approximately shares immediately after this offering); or</w:t>
      </w:r>
    </w:p>
    <w:p>
      <w:pPr>
        <w:spacing w:after="0" w:line="99" w:lineRule="exact"/>
        <w:rPr>
          <w:rFonts w:ascii="Arial" w:cs="Arial" w:eastAsia="Arial" w:hAnsi="Arial"/>
          <w:sz w:val="16"/>
          <w:szCs w:val="16"/>
          <w:color w:val="auto"/>
        </w:rPr>
      </w:pPr>
    </w:p>
    <w:p>
      <w:pPr>
        <w:ind w:left="800" w:right="36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average weekly trading volume in the common stock on the Nasdaq National Market during the four calendar weeks preceding the filing of a notice on Form 144 with respect to the sale.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under Rule 144 are generally subject to the availability of current public information about Corcept.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Rule 144(k), a person who is not deemed to have been our affiliate at any time during the 90 days preceding a sale, and who has beneficially owned the shares proposed to be sold for at least two years, is entitled to sell these shares without having to comply with the manner of sale, public information, volume limitation or notice filing provisions of Rule 144. Therefore, unless otherwise restricted, “144(k) shares” may be sold immediately upon the completion of this offering. Affiliates must always sell pursuant to Rule 144, even after the applicable holding periods have been satisfied.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under Rule 701, any of our employees, directors, officers, consultants or advisors who purchase shares from us in connection with a compensatory stock or option plan or other written agreement before the effective date of this offering is entitled to sell his or her shares 90 days after the effective date of this offering, unless otherwise restricted, in reliance on Rule 144, without having to comply with the holding period of Rule 144 and, in the case of non-affiliates, without having to comply with the public information, volume limitation or notice filing provisions of Rule 144.</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the terms and conditions contained in an agreement among the underwriters and us, each of the underwriters named below, through their representatives, Thomas Weisel Partners LLC, Piper Jaffray &amp; Co. and Legg Mason Wood Walker, Incorporated have severally agreed to purchase the aggregate number of shares of common stock listed opposite its name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4"/>
        </w:trPr>
        <w:tc>
          <w:tcPr>
            <w:tcW w:w="1062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Weisel Partners LLC</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0" w:type="dxa"/>
            <w:vAlign w:val="bottom"/>
            <w:gridSpan w:val="2"/>
          </w:tcPr>
          <w:p>
            <w:pPr>
              <w:spacing w:after="0" w:line="149" w:lineRule="exact"/>
              <w:rPr>
                <w:sz w:val="20"/>
                <w:szCs w:val="20"/>
                <w:color w:val="auto"/>
              </w:rPr>
            </w:pPr>
            <w:r>
              <w:rPr>
                <w:rFonts w:ascii="Arial" w:cs="Arial" w:eastAsia="Arial" w:hAnsi="Arial"/>
                <w:sz w:val="14"/>
                <w:szCs w:val="14"/>
                <w:color w:val="auto"/>
              </w:rPr>
              <w:t>Piper Jaffray &amp; Co.</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Legg Mason Wood Walker, Incorporated</w:t>
            </w: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right="260" w:firstLine="456"/>
        <w:spacing w:after="0" w:line="325"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various conditions. The underwriting agreement also provides that the underwriters will purchase and pay for all of the shares of common stock listed above if any of the shares are purchased.</w:t>
      </w:r>
    </w:p>
    <w:p>
      <w:pPr>
        <w:spacing w:after="0" w:line="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underwriting agreement provides that we and the selling stockholder will indemnify the underwriters against liabilities specified in the underwriting agreement under the Securities Act, or will contribute to payments that the underwriters may be required to make relating to these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8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and the selling stockholder have granted the underwriters a 30-day option to purchase up to a total of 750,000 additional shares of our common stock from us, the selling stockholder, or both, at the initial public offering price, less the underwriting discounts and commissions payable by us, as set forth on the cover page of this prospectus. The underwriters may exercise this option only to cover over-allotments made in connection with the sale of the common stock offered by us and the selling stockholder in this prospectus. If the underwriters exercise this option in whole or in part, then each of the underwriters will be separately committed, subject to conditions described in the underwriting agreement, to purchase a number of additional shares of our common stock proportionate to that underwriter’s initial amount reflected in the table above.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directly to the public at the public offering price described on the cover page of this</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prospectus, and to dealers at that price less a concession not in excess of $ per share. The underwriters may allow and the dealers may reallow a concession not in excess of $ per share on sales to certain other brokers and dealers. After the initial public offering, the underwriters may vary the public offering price or other selling terms.</w:t>
      </w:r>
    </w:p>
    <w:p>
      <w:pPr>
        <w:spacing w:after="0" w:line="5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shows the per share and total public offering price, the underwriting discount and the proceeds we will receive before expenses in connection with this offering:</w:t>
      </w:r>
    </w:p>
    <w:p>
      <w:pPr>
        <w:spacing w:after="0" w:line="3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gridSpan w:val="2"/>
          </w:tcPr>
          <w:p>
            <w:pPr>
              <w:ind w:left="880"/>
              <w:spacing w:after="0"/>
              <w:rPr>
                <w:sz w:val="20"/>
                <w:szCs w:val="20"/>
                <w:color w:val="auto"/>
              </w:rPr>
            </w:pPr>
            <w:r>
              <w:rPr>
                <w:rFonts w:ascii="Arial" w:cs="Arial" w:eastAsia="Arial" w:hAnsi="Arial"/>
                <w:sz w:val="14"/>
                <w:szCs w:val="14"/>
                <w:b w:val="1"/>
                <w:bCs w:val="1"/>
                <w:color w:val="auto"/>
                <w:w w:val="90"/>
              </w:rPr>
              <w:t>Without Over-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680" w:type="dxa"/>
            <w:vAlign w:val="bottom"/>
            <w:gridSpan w:val="2"/>
          </w:tcPr>
          <w:p>
            <w:pPr>
              <w:ind w:left="3120"/>
              <w:spacing w:after="0"/>
              <w:rPr>
                <w:sz w:val="20"/>
                <w:szCs w:val="20"/>
                <w:color w:val="auto"/>
              </w:rPr>
            </w:pPr>
            <w:r>
              <w:rPr>
                <w:rFonts w:ascii="Arial" w:cs="Arial" w:eastAsia="Arial" w:hAnsi="Arial"/>
                <w:sz w:val="14"/>
                <w:szCs w:val="14"/>
                <w:b w:val="1"/>
                <w:bCs w:val="1"/>
                <w:color w:val="auto"/>
                <w:w w:val="82"/>
              </w:rPr>
              <w:t>Per Share</w:t>
            </w:r>
          </w:p>
        </w:tc>
        <w:tc>
          <w:tcPr>
            <w:tcW w:w="90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Public offering price</w:t>
            </w:r>
          </w:p>
        </w:tc>
        <w:tc>
          <w:tcPr>
            <w:tcW w:w="3680" w:type="dxa"/>
            <w:vAlign w:val="bottom"/>
            <w:gridSpan w:val="2"/>
            <w:shd w:val="clear" w:color="auto" w:fill="CCEEFF"/>
          </w:tcPr>
          <w:p>
            <w:pPr>
              <w:ind w:left="31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3680" w:type="dxa"/>
            <w:vAlign w:val="bottom"/>
            <w:gridSpan w:val="2"/>
          </w:tcPr>
          <w:p>
            <w:pPr>
              <w:ind w:left="31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3680" w:type="dxa"/>
            <w:vAlign w:val="bottom"/>
            <w:gridSpan w:val="2"/>
            <w:shd w:val="clear" w:color="auto" w:fill="CCEEFF"/>
          </w:tcPr>
          <w:p>
            <w:pPr>
              <w:ind w:left="3120"/>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underwriter’s exercise of the over-allotment option, we will have the option of selling all or a portion of the additional shares to the underwriters,</w:t>
      </w:r>
    </w:p>
    <w:p>
      <w:pPr>
        <w:spacing w:after="0" w:line="3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and the selling stockholder will sell the remaining shares, if any. Each of us and the selling stockholder will receive $ per share for each share sold upon exercise of the over-allotment, if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3" w:lineRule="exact"/>
        <w:rPr>
          <w:sz w:val="20"/>
          <w:szCs w:val="20"/>
          <w:color w:val="auto"/>
        </w:rPr>
      </w:pPr>
    </w:p>
    <w:p>
      <w:pPr>
        <w:ind w:right="400" w:firstLine="456"/>
        <w:spacing w:after="0" w:line="325"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the shares of our common stock was determined through negotiations among us and the representatives. The primary factors considered in determining the initial public offering price were:</w:t>
      </w:r>
    </w:p>
    <w:p>
      <w:pPr>
        <w:spacing w:after="0" w:line="1"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history of and prospects for our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assessment of our management, our past and present operations, and the prospects for, and timing of, our future revenues;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present state of our development and the progress of our business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consideration of these factors in relation to the market valuation of other companies engaged in activities similar to ours.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cannot assure you that an active or orderly trading market will develop for our common stock or that our common stock will trade in the public markets subsequent to this offering at or above the initial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and the selling stockholder have agreed to indemnify the underwriters against some civil liabilities, including liabilities under the Securities Act and liabilities arising from breaches of our representations and warranties contained in the underwriting agreement. If we or the selling stockholder are unable to provide this indemnification, we and the selling stockholder will contribute to payments the underwriters may be required to make in respect of those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underwriters, at our request, have reserved for sale at the initial public offering price a number of shares that will not exceed 5% of the aggregate shares of common stock to be sold in this offering for sale to our employees and other persons designated by us. The number of shares available for sale to the general public will be reduced to the extent that any reserved shares are purchased. Any reserved shares not purchased in this manner will be offered by the underwriters on the same basis as the other shares offered in this offering.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Each of our directors and officers and all of our stockholders, including the selling stockholder, have agreed not to offer, sell, agree to sell, directly or indirectly, or otherwise dispose of any shares of common stock or any securities convertible into or exchangeable for shares of common stock without the prior written consent of Thomas Weisel Partners LLC for a period of 180 days after the date of this prospectus.</w:t>
      </w:r>
    </w:p>
    <w:p>
      <w:pPr>
        <w:spacing w:after="0" w:line="4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agreed that for a period of 180 days after the date of this prospectus we will not, without the prior written consent of Thomas Weisel Partners LLC, offer, sell, or otherwise dispose of any shares of common stock, except for the shares of common stock offered in the offering and the shares of common stock issuable upon exercise of options and warrants outstanding on the date of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National Market 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for listing of our common stock on the Nasdaq National Market under the symbol “CORT”.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Accounts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underwriters do not expect sales of shares of common stock offered by this prospectus to any accounts over which they exercise discretionary authority to exceed five percent of the shares offered.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83" w:lineRule="exact"/>
        <w:rPr>
          <w:sz w:val="20"/>
          <w:szCs w:val="20"/>
          <w:color w:val="auto"/>
        </w:rPr>
      </w:pPr>
    </w:p>
    <w:p>
      <w:pPr>
        <w:ind w:right="260" w:firstLine="456"/>
        <w:spacing w:after="0" w:line="325" w:lineRule="auto"/>
        <w:rPr>
          <w:sz w:val="20"/>
          <w:szCs w:val="20"/>
          <w:color w:val="auto"/>
        </w:rPr>
      </w:pPr>
      <w:r>
        <w:rPr>
          <w:rFonts w:ascii="Arial" w:cs="Arial" w:eastAsia="Arial" w:hAnsi="Arial"/>
          <w:sz w:val="16"/>
          <w:szCs w:val="16"/>
          <w:color w:val="auto"/>
        </w:rPr>
        <w:t>In order to facilitate this offering, the underwriters may engage in transactions that stabilize, maintain or otherwise affect the price of our common stock during and after this offering. Specifically, the underwriters may engage in the following activities in accordance with the rules of the SEC.</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Short Sales. </w:t>
      </w:r>
      <w:r>
        <w:rPr>
          <w:rFonts w:ascii="Arial" w:cs="Arial" w:eastAsia="Arial" w:hAnsi="Arial"/>
          <w:sz w:val="16"/>
          <w:szCs w:val="16"/>
          <w:color w:val="auto"/>
        </w:rPr>
        <w:t>Short sales involve the sale by the underwriters of a greater number of shares than they are required to purchase in the offering.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short sales are sales made in an amount not greater than the underwriters’ option to purchase additional shares from the issuer in the offering. The underwriters may close out any covered short position by either exercising their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w:t>
      </w:r>
    </w:p>
    <w:p>
      <w:pPr>
        <w:spacing w:after="0" w:line="2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underwriters may make bids for or purchases of the shares in the open market for the purpose of pegging, fixing 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the price of the shares, so long as stabilizing bids do not exceed a specified maximum.</w:t>
      </w:r>
    </w:p>
    <w:p>
      <w:pPr>
        <w:spacing w:after="0" w:line="3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Penalty Bids. </w:t>
      </w:r>
      <w:r>
        <w:rPr>
          <w:rFonts w:ascii="Arial" w:cs="Arial" w:eastAsia="Arial" w:hAnsi="Arial"/>
          <w:sz w:val="18"/>
          <w:szCs w:val="18"/>
          <w:color w:val="auto"/>
        </w:rPr>
        <w:t>The underwriters may impose penalty bids. This means that if the underwriters purchase shares in the open market in a stabilizing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syndicate covering transaction, they may reclaim a selling concession from the underwriters and selling group members who sold those shares as part of this offering.</w:t>
      </w:r>
    </w:p>
    <w:p>
      <w:pPr>
        <w:spacing w:after="0" w:line="4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it would otherwise be in the absence of these transactions. Neither we nor the underwriters make any representation or prediction as to the effect that the transactions described above may have on the price of our common stock. These transactions may occur on the Nasdaq National Market or otherwise and, if commenced, they may be discontinued without notice at any time.</w:t>
      </w:r>
    </w:p>
    <w:p>
      <w:pPr>
        <w:spacing w:after="0" w:line="21" w:lineRule="exact"/>
        <w:rPr>
          <w:sz w:val="20"/>
          <w:szCs w:val="20"/>
          <w:color w:val="auto"/>
        </w:rPr>
      </w:pPr>
    </w:p>
    <w:p>
      <w:pPr>
        <w:ind w:right="80" w:firstLine="456"/>
        <w:spacing w:after="0" w:line="331" w:lineRule="auto"/>
        <w:rPr>
          <w:sz w:val="20"/>
          <w:szCs w:val="20"/>
          <w:color w:val="auto"/>
        </w:rPr>
      </w:pPr>
      <w:r>
        <w:rPr>
          <w:rFonts w:ascii="Arial" w:cs="Arial" w:eastAsia="Arial" w:hAnsi="Arial"/>
          <w:sz w:val="15"/>
          <w:szCs w:val="15"/>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No form of prospectus other than printed prospectuses and electronically distributed prospectuses that are printable in Adobe PDF format will be used in connection with this offering.</w:t>
      </w:r>
    </w:p>
    <w:p>
      <w:pPr>
        <w:spacing w:after="0" w:line="2" w:lineRule="exact"/>
        <w:rPr>
          <w:sz w:val="20"/>
          <w:szCs w:val="20"/>
          <w:color w:val="auto"/>
        </w:rPr>
      </w:pPr>
    </w:p>
    <w:p>
      <w:pPr>
        <w:ind w:right="740" w:firstLine="456"/>
        <w:spacing w:after="0" w:line="325" w:lineRule="auto"/>
        <w:rPr>
          <w:sz w:val="20"/>
          <w:szCs w:val="20"/>
          <w:color w:val="auto"/>
        </w:rPr>
      </w:pPr>
      <w:r>
        <w:rPr>
          <w:rFonts w:ascii="Arial" w:cs="Arial" w:eastAsia="Arial" w:hAnsi="Arial"/>
          <w:sz w:val="16"/>
          <w:szCs w:val="16"/>
          <w:color w:val="auto"/>
        </w:rPr>
        <w:t>From time to time in the ordinary course of their respective businesses, certain of the underwriters have performed and may in the future perform investment banking and advisory services for us, for which they have received or may receive customary fees and expenses.</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Three individuals affiliated with Piper Jaffray &amp; Co., one of the representatives of the underwriters, purchased an aggregate of 8,821 shares of Series C preferred stock at a purchase price of $7.07 per share in our Series C financings in June 2001 and December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NON-UNITED STATES HOLDERS</w:t>
      </w:r>
    </w:p>
    <w:p>
      <w:pPr>
        <w:spacing w:after="0" w:line="15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following is a summary of the material United States federal income tax consequences of the ownership and disposition of our common stock to non-United States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United States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summary also does not address the tax considerations arising under the laws of any foreign, state or local jurisdiction. In addition, this discussion does not address tax considerations applicable to an investor’s particular circumstances or to investors that may be subject to special tax rules, including, without limitation:</w:t>
      </w:r>
    </w:p>
    <w:p>
      <w:pPr>
        <w:spacing w:after="0" w:line="46" w:lineRule="exact"/>
        <w:rPr>
          <w:sz w:val="20"/>
          <w:szCs w:val="20"/>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company (except to the extent specifically set forth below);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 or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77" w:lineRule="exact"/>
        <w:rPr>
          <w:sz w:val="20"/>
          <w:szCs w:val="20"/>
          <w:color w:val="auto"/>
        </w:rPr>
      </w:pPr>
    </w:p>
    <w:p>
      <w:pPr>
        <w:ind w:firstLine="456"/>
        <w:spacing w:after="0" w:line="321" w:lineRule="auto"/>
        <w:rPr>
          <w:sz w:val="20"/>
          <w:szCs w:val="20"/>
          <w:color w:val="auto"/>
        </w:rPr>
      </w:pPr>
      <w:r>
        <w:rPr>
          <w:rFonts w:ascii="Arial" w:cs="Arial" w:eastAsia="Arial" w:hAnsi="Arial"/>
          <w:sz w:val="16"/>
          <w:szCs w:val="16"/>
          <w:color w:val="auto"/>
        </w:rPr>
        <w:t>In addition, if a partnership holds our common stock, the tax treatment of a partner generally will depend on the status of the partner and upon the activities of the partnership. Accordingly, partnerships which hold our common stock, and partners in such partnerships, should consult their tax advisors.</w:t>
      </w:r>
    </w:p>
    <w:p>
      <w:pPr>
        <w:spacing w:after="0" w:line="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UNITED STATES FEDERAL INCOME TAX LAWS TO YOUR PARTICULAR SITUATION, AS WELL AS ANY TAX CONSEQUENCES OF THE PURCHASE, OWNERSHIP AND DISPOSITION OF OUR COMMON STOCK ARISING UNDER THE UNITED STATES FEDERAL ESTATE OR GIFT TAX RULES OR UNDER THE LAWS OF ANY STATE, LOCAL, FOREIGN OR OTHER TAXING JURISDICTION OR UNDER ANY APPLICABLE TAX TREATY.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Non-United States Holder Defined</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purposes of this discussion, you are a non-United States holder if you are a holder that, for United States federal income tax purposes, is not a United States person. For purposes of this discussion, you are a United States person if you are:</w:t>
      </w:r>
    </w:p>
    <w:p>
      <w:pPr>
        <w:spacing w:after="0" w:line="37" w:lineRule="exact"/>
        <w:rPr>
          <w:sz w:val="20"/>
          <w:szCs w:val="20"/>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76"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 a partnership or entity taxable as a partnership, created or organized in the United States or under the laws of the United States or any political subdivision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estate whose income is subject to United States federal income tax regardless of its source; or</w:t>
      </w:r>
    </w:p>
    <w:p>
      <w:pPr>
        <w:spacing w:after="0" w:line="76" w:lineRule="exact"/>
        <w:rPr>
          <w:rFonts w:ascii="Arial" w:cs="Arial" w:eastAsia="Arial" w:hAnsi="Arial"/>
          <w:sz w:val="18"/>
          <w:szCs w:val="18"/>
          <w:color w:val="auto"/>
        </w:rPr>
      </w:pPr>
    </w:p>
    <w:p>
      <w:pPr>
        <w:ind w:left="800" w:right="80" w:hanging="346"/>
        <w:spacing w:after="0" w:line="332"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United States court and which has one or more United States persons who have the authority to control all substantial decisions of the trust or (y) which has made an election to be treated as a United States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made any distributions on our common stock, and we do not plan to make any distributions for the foreseeable future. However, if we do make distributions on our common stock, those payments will constitute dividends for United States tax purposes to the extent paid from our current or accumulated earnings and profits, as determined under United States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w:t>
      </w:r>
    </w:p>
    <w:p>
      <w:pPr>
        <w:spacing w:after="0" w:line="4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dividend paid to you generally will be subject to United States withholding tax either at a rate of 30% of the gross amount of the dividend or such lower rate as may be specified by an applicable income tax treaty. In order to receive a reduced treaty rate, you must provide us with an IRS Form W-8BEN or other appropriate version of IRS Form W-8 certifying qualification for the reduced rate.</w:t>
      </w:r>
    </w:p>
    <w:p>
      <w:pPr>
        <w:spacing w:after="0" w:line="4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Dividends received by you that are effectively connected with your conduct of a United States trade or business are exempt from such withholding tax. In order to obtain this exemption, you must provide us with an IRS Form W-8ECI properly certifying such exemption. Such effectively connected dividends, although not subject to withholding tax, are taxed at the same graduated rates applicable to United States persons, net of certain deductions and credits. In addition, if you are a corporate non-United States holder, dividends you receive that are effectively connected with your conduct of a United States trade or business may also be subject to a branch profits tax at a rate of 30% or such lower rate as may be specified by an applicable income tax treaty.</w:t>
      </w:r>
    </w:p>
    <w:p>
      <w:pPr>
        <w:spacing w:after="0" w:line="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you are eligible for a reduced rate of withholding tax pursuant to a tax treaty, you may obtain a refund of any excess amounts currently withheld if you file an appropriate claim for refund with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You generally will not be required to pay United States federal income tax on any gain realized upon the sale or other disposition of our common stock unless:</w:t>
      </w:r>
    </w:p>
    <w:p>
      <w:pPr>
        <w:spacing w:after="0" w:line="37" w:lineRule="exact"/>
        <w:rPr>
          <w:sz w:val="20"/>
          <w:szCs w:val="20"/>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United States trade or business;</w:t>
      </w:r>
    </w:p>
    <w:p>
      <w:pPr>
        <w:spacing w:after="0" w:line="76" w:lineRule="exact"/>
        <w:rPr>
          <w:rFonts w:ascii="Arial" w:cs="Arial" w:eastAsia="Arial" w:hAnsi="Arial"/>
          <w:sz w:val="18"/>
          <w:szCs w:val="18"/>
          <w:color w:val="auto"/>
        </w:rPr>
      </w:pPr>
    </w:p>
    <w:p>
      <w:pPr>
        <w:ind w:left="800" w:right="60" w:hanging="346"/>
        <w:spacing w:after="0" w:line="25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are an individual who holds our common stock as a capital asset (generally, an asset held for investment purposes) and who is present in the United States for a period or periods aggregating 183 days or more during the calendar year in which the sale or disposition occurs and certain other conditions are met; or</w:t>
      </w:r>
    </w:p>
    <w:p>
      <w:pPr>
        <w:spacing w:after="0" w:line="45"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for United States federal income tax purposes (a “USRPHC”) at any time within the shorter of the five-year period preceding the disposition or your holding period for our common stock.</w:t>
      </w:r>
    </w:p>
    <w:p>
      <w:pPr>
        <w:spacing w:after="0" w:line="4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we are not currently and will not become a USRPHC. However, because the determination of whether we are a USRPHC depends on the fair market value of our United States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United States real property interests only if you actually or constructively hold more than 5% of such regularly traded common stock.</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If you are a non-United States holder described in the first bullet above, you will be required to pay tax on the net gain derived from the sale under regular graduated United States federal income tax rates, and corporate non-United States holders described in the first bullet above may be subject to the branch profits tax at a 30% rate or such lower rate as may be specified by an applicable income tax treaty. If you are an individual non-United States holder described in the second bullet above, you will be required to pay a flat 30% tax on the gain derived from the sale, which tax may be offset by United States source capital losses (even though you are not considered a resident of the United States). You should consult any applicable income tax treaties that may provide for different rules.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is sent to you. Pursuant to applicable income tax treaties or other agreements, the IRS may make these reports available to tax authorities in your country of residence.</w:t>
      </w:r>
    </w:p>
    <w:p>
      <w:pPr>
        <w:spacing w:after="0" w:line="4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Payments of dividends or of proceeds on the disposition of stock made to you may be subject to information reporting and backup withholding unless you establish an exemption, for example by properly certifying your non-United States status on a Form W-8BEN or another appropriate version of IRS Form W-8. Notwithstanding the foregoing, backup withholding and information reporting may apply if either we or our paying agent has actual knowledge, or reason to know, that you are a United States person.</w:t>
      </w:r>
    </w:p>
    <w:p>
      <w:pPr>
        <w:spacing w:after="0" w:line="4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Backup withholding is not an additional tax; rather, the United States income tax liability of persons subject to backup withholding will be reduced by the amount of tax withheld. If withholding results in an overpayment of taxes, a refund or credit may be obtained, provided that the required information is furnished to the IRS in a timely manner.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validity of the common stock being offered by this prospectus will be passed upon for us by Heller Ehrman White &amp; McAuliffe LLP, Menlo Park, California which has acted as our counsel in connection with this offering. As of the date of this prospectus, Heller Ehrman White &amp; McAuliffe LLP owns 33,750 shares of our common stock and partners of Heller Ehrman White &amp; McAuliffe LLP own an additional 64,441 shares of common stock individually and through an investment limited liability company. The underwriters have been represented by Latham &amp; Watkins LLP, Costa Mesa, California.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Ernst &amp; Young LLP, independent auditors, have audited our financial statements at December 31, 2002 and 2003, and for each of the three years in the period ended December 31, 2003, and for the period from inception (May 13, 1998) to December 31, 2003, as set forth in their report. We have included our financial statements in the prospectus and elsewhere in the registration statement in reliance on Ernst &amp; Young LLP’s report, given on their authority as experts in accounting and auditing.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common stock offered by us and the selling stockholder in this offering. This prospectus, which constitutes a part of the registration statement, does not contain all of the information set forth in the registration statement; some items are contained in exhibits to the registration statement as permitted by the rules and regulations of the SEC. For further information on Corcept and the common stock offered in this prospectus, reference is made to the registration statement, including the exhibits thereto, and the financial statements and notes filed as a part of the registration statement. With respect to each document filed with the SEC as an exhibit to the registration statement, reference is made to the exhibit for a more complete description of the matter involved. When we complete this offering, we will also be required to file annual, quarterly and special reports, proxy statements and other information with the SEC.</w:t>
      </w:r>
    </w:p>
    <w:p>
      <w:pPr>
        <w:spacing w:after="0" w:line="2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 site at www.sec.gov. You may also read and copy any document we file with the SEC at its public reference facility at 450 Fifth Street, N.W., Washington, D.C. 20549. You may also obtain copies of the document at prescribed rates by writing to the Public Reference Section of the SEC at 450 Fifth Street, N.W., Washington, D.C. 20549. Please call the SEC at 1-800-SEC-0330 for further information on the operation of the public reference facilities.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2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7"/>
              </w:rPr>
              <w:t>CORCEPT THERAPEUTICS INCORPORATED</w:t>
            </w:r>
          </w:p>
        </w:tc>
        <w:tc>
          <w:tcPr>
            <w:tcW w:w="440" w:type="dxa"/>
            <w:vAlign w:val="bottom"/>
          </w:tcPr>
          <w:p>
            <w:pPr>
              <w:spacing w:after="0"/>
              <w:rPr>
                <w:sz w:val="18"/>
                <w:szCs w:val="18"/>
                <w:color w:val="auto"/>
              </w:rPr>
            </w:pPr>
          </w:p>
        </w:tc>
      </w:tr>
      <w:tr>
        <w:trPr>
          <w:trHeight w:val="228"/>
        </w:trPr>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2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7"/>
              </w:rPr>
              <w:t>(A DEVELOPMENT STAGE COMPANY)</w:t>
            </w:r>
          </w:p>
        </w:tc>
        <w:tc>
          <w:tcPr>
            <w:tcW w:w="440" w:type="dxa"/>
            <w:vAlign w:val="bottom"/>
          </w:tcPr>
          <w:p>
            <w:pPr>
              <w:spacing w:after="0"/>
              <w:rPr>
                <w:sz w:val="19"/>
                <w:szCs w:val="19"/>
                <w:color w:val="auto"/>
              </w:rPr>
            </w:pPr>
          </w:p>
        </w:tc>
      </w:tr>
      <w:tr>
        <w:trPr>
          <w:trHeight w:val="284"/>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9"/>
              </w:rPr>
              <w:t>INDEX TO FINANCIAL STATEMENTS</w:t>
            </w:r>
          </w:p>
        </w:tc>
        <w:tc>
          <w:tcPr>
            <w:tcW w:w="440" w:type="dxa"/>
            <w:vAlign w:val="bottom"/>
          </w:tcPr>
          <w:p>
            <w:pPr>
              <w:spacing w:after="0"/>
              <w:rPr>
                <w:sz w:val="24"/>
                <w:szCs w:val="24"/>
                <w:color w:val="auto"/>
              </w:rPr>
            </w:pPr>
          </w:p>
        </w:tc>
      </w:tr>
      <w:tr>
        <w:trPr>
          <w:trHeight w:val="312"/>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95"/>
        </w:trPr>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77"/>
        </w:trPr>
        <w:tc>
          <w:tcPr>
            <w:tcW w:w="10980" w:type="dxa"/>
            <w:vAlign w:val="bottom"/>
            <w:gridSpan w:val="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 of Ernst &amp; Young LLP, Independent Auditors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51"/>
        </w:trPr>
        <w:tc>
          <w:tcPr>
            <w:tcW w:w="37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Audited Financial Statements</w:t>
            </w:r>
          </w:p>
        </w:tc>
        <w:tc>
          <w:tcPr>
            <w:tcW w:w="72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286"/>
        </w:trPr>
        <w:tc>
          <w:tcPr>
            <w:tcW w:w="1080" w:type="dxa"/>
            <w:vAlign w:val="bottom"/>
            <w:tcBorders>
              <w:bottom w:val="single" w:sz="8" w:color="0000EE"/>
            </w:tcBorders>
          </w:tcPr>
          <w:p>
            <w:pPr>
              <w:spacing w:after="0"/>
              <w:rPr>
                <w:rFonts w:ascii="Arial" w:cs="Arial" w:eastAsia="Arial" w:hAnsi="Arial"/>
                <w:sz w:val="18"/>
                <w:szCs w:val="18"/>
                <w:color w:val="0000EE"/>
                <w:w w:val="84"/>
              </w:rPr>
            </w:pPr>
            <w:hyperlink w:anchor="page79">
              <w:r>
                <w:rPr>
                  <w:rFonts w:ascii="Arial" w:cs="Arial" w:eastAsia="Arial" w:hAnsi="Arial"/>
                  <w:sz w:val="18"/>
                  <w:szCs w:val="18"/>
                  <w:color w:val="0000EE"/>
                  <w:w w:val="84"/>
                </w:rPr>
                <w:t>Balance Sheets</w:t>
              </w:r>
            </w:hyperlink>
          </w:p>
        </w:tc>
        <w:tc>
          <w:tcPr>
            <w:tcW w:w="99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196"/>
        </w:trPr>
        <w:tc>
          <w:tcPr>
            <w:tcW w:w="10980" w:type="dxa"/>
            <w:vAlign w:val="bottom"/>
            <w:gridSpan w:val="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Statements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980" w:type="dxa"/>
            <w:vAlign w:val="bottom"/>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Statements of Convertible Preferred Stock and Stockholders’ Equity (Net Capital Deficiency)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Statements of Cash Flows</w:t>
              </w:r>
            </w:hyperlink>
          </w:p>
        </w:tc>
        <w:tc>
          <w:tcPr>
            <w:tcW w:w="4740" w:type="dxa"/>
            <w:vAlign w:val="bottom"/>
            <w:tcBorders>
              <w:top w:val="single" w:sz="8" w:color="0000EE"/>
            </w:tcBorders>
            <w:gridSpan w:val="3"/>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10980" w:type="dxa"/>
            <w:vAlign w:val="bottom"/>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Notes to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383"/>
        </w:trPr>
        <w:tc>
          <w:tcPr>
            <w:tcW w:w="10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7260" w:type="dxa"/>
            <w:vAlign w:val="bottom"/>
            <w:gridSpan w:val="2"/>
          </w:tcPr>
          <w:p>
            <w:pPr>
              <w:jc w:val="center"/>
              <w:ind w:right="3260"/>
              <w:spacing w:after="0"/>
              <w:rPr>
                <w:sz w:val="20"/>
                <w:szCs w:val="20"/>
                <w:color w:val="auto"/>
              </w:rPr>
            </w:pPr>
            <w:r>
              <w:rPr>
                <w:rFonts w:ascii="Arial" w:cs="Arial" w:eastAsia="Arial" w:hAnsi="Arial"/>
                <w:sz w:val="18"/>
                <w:szCs w:val="18"/>
                <w:color w:val="auto"/>
                <w:w w:val="88"/>
              </w:rPr>
              <w:t>F-1</w:t>
            </w: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Corcept Therapeutics Incorporated</w:t>
      </w:r>
    </w:p>
    <w:p>
      <w:pPr>
        <w:spacing w:after="0" w:line="7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balance sheets of Corcept Therapeutics Incorporated (a development stage company) as of December 31, 2002 and 2003, and the related statements of operations, convertible preferred stock and stockholders’ equity (net capital deficiency), and cash flows for each of the three years in the period ended December 31, 2003, and for the period from inception (May 13, 1998) to December 31, 2003. These financial statements are the responsibility of the Company’s management. Our responsibility is to express an opinion on these financial statements based on our audits.</w:t>
      </w:r>
    </w:p>
    <w:p>
      <w:pPr>
        <w:spacing w:after="0" w:line="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Corcept Therapeutics Incorporated (a development stage company) at December 31, 2002 and 2003 and the results of its operations and its cash flows for each of the three years in the period ended December 31, 2003 and for the period from inception (May 13, 1998) to December 31, 2003, in conformity with accounting principles generally accepted in the United States.</w:t>
      </w:r>
    </w:p>
    <w:p>
      <w:pPr>
        <w:spacing w:after="0" w:line="130"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20,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2004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43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Equity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7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Cash and cash equivalents (including restricted cash of $429,515 and $0 at December 31, 2002 and 2003, respectively)</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18,400,992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10,073,103</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Short-term investments</w:t>
            </w:r>
          </w:p>
        </w:tc>
        <w:tc>
          <w:tcPr>
            <w:tcW w:w="11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3,142,180</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1,504,180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195,430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165,341</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21,738,602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11,742,624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4"/>
                <w:szCs w:val="14"/>
                <w:color w:val="auto"/>
              </w:rPr>
              <w:t>Property and equipment, net of accumulated depreciation</w:t>
            </w:r>
          </w:p>
        </w:tc>
        <w:tc>
          <w:tcPr>
            <w:tcW w:w="11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23,082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33,043</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37,805</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21,794,727</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11,780,960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804,974</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321,806</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Accrued clinical expenses</w:t>
            </w:r>
          </w:p>
        </w:tc>
        <w:tc>
          <w:tcPr>
            <w:tcW w:w="11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530,106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334,362</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accrued liabilities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181,544</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357,818</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1,516,624</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1,013,986</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spacing w:after="0"/>
              <w:rPr>
                <w:sz w:val="20"/>
                <w:szCs w:val="20"/>
                <w:color w:val="auto"/>
              </w:rPr>
            </w:pPr>
            <w:r>
              <w:rPr>
                <w:rFonts w:ascii="Arial" w:cs="Arial" w:eastAsia="Arial" w:hAnsi="Arial"/>
                <w:sz w:val="14"/>
                <w:szCs w:val="14"/>
                <w:color w:val="auto"/>
              </w:rPr>
              <w:t>Convertible note payable</w:t>
            </w: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502,857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523,689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2,019,481</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1,537,675</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spacing w:after="0"/>
              <w:rPr>
                <w:sz w:val="20"/>
                <w:szCs w:val="20"/>
                <w:color w:val="auto"/>
              </w:rPr>
            </w:pPr>
            <w:r>
              <w:rPr>
                <w:rFonts w:ascii="Arial" w:cs="Arial" w:eastAsia="Arial" w:hAnsi="Arial"/>
                <w:sz w:val="14"/>
                <w:szCs w:val="14"/>
                <w:color w:val="auto"/>
              </w:rPr>
              <w:t>Commitments</w:t>
            </w:r>
          </w:p>
        </w:tc>
        <w:tc>
          <w:tcPr>
            <w:tcW w:w="11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640" w:type="dxa"/>
            <w:vAlign w:val="bottom"/>
          </w:tcPr>
          <w:p>
            <w:pPr>
              <w:spacing w:after="0"/>
              <w:rPr>
                <w:sz w:val="4"/>
                <w:szCs w:val="4"/>
                <w:color w:val="auto"/>
              </w:rPr>
            </w:pPr>
          </w:p>
        </w:tc>
        <w:tc>
          <w:tcPr>
            <w:tcW w:w="110" w:type="dxa"/>
            <w:vAlign w:val="bottom"/>
          </w:tcPr>
          <w:p>
            <w:pPr>
              <w:spacing w:after="0"/>
              <w:rPr>
                <w:sz w:val="4"/>
                <w:szCs w:val="4"/>
                <w:color w:val="auto"/>
              </w:rPr>
            </w:pPr>
          </w:p>
        </w:tc>
        <w:tc>
          <w:tcPr>
            <w:tcW w:w="67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7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Convertible preferred stock, $0.001 par value, issuable in series; 10,000,000 shares authorized and 6,768,558 shares issued and</w:t>
            </w:r>
          </w:p>
        </w:tc>
        <w:tc>
          <w:tcPr>
            <w:tcW w:w="110" w:type="dxa"/>
            <w:vAlign w:val="bottom"/>
            <w:shd w:val="clear" w:color="auto" w:fill="CCEEFF"/>
          </w:tcPr>
          <w:p>
            <w:pPr>
              <w:spacing w:after="0"/>
              <w:rPr>
                <w:sz w:val="11"/>
                <w:szCs w:val="11"/>
                <w:color w:val="auto"/>
              </w:rPr>
            </w:pPr>
          </w:p>
        </w:tc>
        <w:tc>
          <w:tcPr>
            <w:tcW w:w="67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outstanding at December 31, 2002 and 2003 (no shares authorized or outstanding pro forma); aggregate liquidation preference</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$41,702,203 at December 31, 2003</w:t>
            </w:r>
          </w:p>
        </w:tc>
        <w:tc>
          <w:tcPr>
            <w:tcW w:w="11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41,715,974</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41,715,974</w:t>
            </w: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660" w:type="dxa"/>
            <w:vAlign w:val="bottom"/>
            <w:gridSpan w:val="2"/>
          </w:tcPr>
          <w:p>
            <w:pPr>
              <w:spacing w:after="0"/>
              <w:rPr>
                <w:sz w:val="20"/>
                <w:szCs w:val="20"/>
                <w:color w:val="auto"/>
              </w:rPr>
            </w:pPr>
            <w:r>
              <w:rPr>
                <w:rFonts w:ascii="Arial" w:cs="Arial" w:eastAsia="Arial" w:hAnsi="Arial"/>
                <w:sz w:val="14"/>
                <w:szCs w:val="14"/>
                <w:color w:val="auto"/>
              </w:rPr>
              <w:t>Stockholders’ equity (net capital deficiency):</w:t>
            </w:r>
          </w:p>
        </w:tc>
        <w:tc>
          <w:tcPr>
            <w:tcW w:w="11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 $0.001 par value, undesignated; 10,000,000 shares authorized and no shares outstanding pro forma</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40" w:type="dxa"/>
            <w:vAlign w:val="bottom"/>
          </w:tcPr>
          <w:p>
            <w:pPr>
              <w:ind w:left="200"/>
              <w:spacing w:after="0" w:line="138" w:lineRule="exact"/>
              <w:rPr>
                <w:sz w:val="20"/>
                <w:szCs w:val="20"/>
                <w:color w:val="auto"/>
              </w:rPr>
            </w:pPr>
            <w:r>
              <w:rPr>
                <w:rFonts w:ascii="Arial" w:cs="Arial" w:eastAsia="Arial" w:hAnsi="Arial"/>
                <w:sz w:val="14"/>
                <w:szCs w:val="14"/>
                <w:color w:val="auto"/>
                <w:w w:val="93"/>
              </w:rPr>
              <w:t>Common stock, $0.001 par value; 30,000,000 shares authorized and 9,540,858 and 9,334,982 shares issued and outstanding at</w:t>
            </w:r>
          </w:p>
        </w:tc>
        <w:tc>
          <w:tcPr>
            <w:tcW w:w="11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40" w:type="dxa"/>
            <w:vAlign w:val="bottom"/>
          </w:tcPr>
          <w:p>
            <w:pPr>
              <w:ind w:left="420"/>
              <w:spacing w:after="0" w:line="159" w:lineRule="exact"/>
              <w:rPr>
                <w:sz w:val="20"/>
                <w:szCs w:val="20"/>
                <w:color w:val="auto"/>
              </w:rPr>
            </w:pPr>
            <w:r>
              <w:rPr>
                <w:rFonts w:ascii="Arial" w:cs="Arial" w:eastAsia="Arial" w:hAnsi="Arial"/>
                <w:sz w:val="14"/>
                <w:szCs w:val="14"/>
                <w:color w:val="auto"/>
              </w:rPr>
              <w:t>December 31, 2002 and 2003, respectively (18,142,128 shares outstanding pro forma)</w:t>
            </w:r>
          </w:p>
        </w:tc>
        <w:tc>
          <w:tcPr>
            <w:tcW w:w="110" w:type="dxa"/>
            <w:vAlign w:val="bottom"/>
          </w:tcPr>
          <w:p>
            <w:pPr>
              <w:spacing w:after="0"/>
              <w:rPr>
                <w:sz w:val="13"/>
                <w:szCs w:val="13"/>
                <w:color w:val="auto"/>
              </w:rPr>
            </w:pPr>
          </w:p>
        </w:tc>
        <w:tc>
          <w:tcPr>
            <w:tcW w:w="670" w:type="dxa"/>
            <w:vAlign w:val="bottom"/>
          </w:tcPr>
          <w:p>
            <w:pPr>
              <w:jc w:val="right"/>
              <w:spacing w:after="0" w:line="159" w:lineRule="exact"/>
              <w:rPr>
                <w:sz w:val="20"/>
                <w:szCs w:val="20"/>
                <w:color w:val="auto"/>
              </w:rPr>
            </w:pPr>
            <w:r>
              <w:rPr>
                <w:rFonts w:ascii="Arial" w:cs="Arial" w:eastAsia="Arial" w:hAnsi="Arial"/>
                <w:sz w:val="14"/>
                <w:szCs w:val="14"/>
                <w:color w:val="auto"/>
              </w:rPr>
              <w:t>9,541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9,335</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18,142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1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10,881,514</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8,981,827</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50,688,994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Notes receivable from stockholders</w:t>
            </w:r>
          </w:p>
        </w:tc>
        <w:tc>
          <w:tcPr>
            <w:tcW w:w="110" w:type="dxa"/>
            <w:vAlign w:val="bottom"/>
          </w:tcPr>
          <w:p>
            <w:pPr>
              <w:spacing w:after="0"/>
              <w:rPr>
                <w:sz w:val="12"/>
                <w:szCs w:val="12"/>
                <w:color w:val="auto"/>
              </w:rPr>
            </w:pPr>
          </w:p>
        </w:tc>
        <w:tc>
          <w:tcPr>
            <w:tcW w:w="133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(438,165)</w:t>
            </w:r>
          </w:p>
        </w:tc>
        <w:tc>
          <w:tcPr>
            <w:tcW w:w="100" w:type="dxa"/>
            <w:vAlign w:val="bottom"/>
          </w:tcPr>
          <w:p>
            <w:pPr>
              <w:spacing w:after="0"/>
              <w:rPr>
                <w:sz w:val="12"/>
                <w:szCs w:val="12"/>
                <w:color w:val="auto"/>
              </w:rPr>
            </w:pPr>
          </w:p>
        </w:tc>
        <w:tc>
          <w:tcPr>
            <w:tcW w:w="132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(246,258)</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(246,258)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110" w:type="dxa"/>
            <w:vAlign w:val="bottom"/>
            <w:shd w:val="clear" w:color="auto" w:fill="CCEEFF"/>
          </w:tcPr>
          <w:p>
            <w:pPr>
              <w:spacing w:after="0"/>
              <w:rPr>
                <w:sz w:val="12"/>
                <w:szCs w:val="12"/>
                <w:color w:val="auto"/>
              </w:rPr>
            </w:pPr>
          </w:p>
        </w:tc>
        <w:tc>
          <w:tcPr>
            <w:tcW w:w="133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4"/>
              </w:rPr>
              <w:t>(4,268,488)</w:t>
            </w:r>
          </w:p>
        </w:tc>
        <w:tc>
          <w:tcPr>
            <w:tcW w:w="1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7"/>
              </w:rPr>
              <w:t>(2,279,524)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(2,279,524)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Deficit accumulated during the development stage</w:t>
            </w:r>
          </w:p>
        </w:tc>
        <w:tc>
          <w:tcPr>
            <w:tcW w:w="110" w:type="dxa"/>
            <w:vAlign w:val="bottom"/>
          </w:tcPr>
          <w:p>
            <w:pPr>
              <w:spacing w:after="0"/>
              <w:rPr>
                <w:sz w:val="12"/>
                <w:szCs w:val="12"/>
                <w:color w:val="auto"/>
              </w:rPr>
            </w:pPr>
          </w:p>
        </w:tc>
        <w:tc>
          <w:tcPr>
            <w:tcW w:w="133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5"/>
              </w:rPr>
              <w:t>(28,125,064)</w:t>
            </w:r>
          </w:p>
        </w:tc>
        <w:tc>
          <w:tcPr>
            <w:tcW w:w="100" w:type="dxa"/>
            <w:vAlign w:val="bottom"/>
          </w:tcPr>
          <w:p>
            <w:pPr>
              <w:spacing w:after="0"/>
              <w:rPr>
                <w:sz w:val="12"/>
                <w:szCs w:val="12"/>
                <w:color w:val="auto"/>
              </w:rPr>
            </w:pPr>
          </w:p>
        </w:tc>
        <w:tc>
          <w:tcPr>
            <w:tcW w:w="132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w w:val="88"/>
              </w:rPr>
              <w:t>(37,937,426)</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(37,937,426)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110" w:type="dxa"/>
            <w:vAlign w:val="bottom"/>
            <w:shd w:val="clear" w:color="auto" w:fill="CCEEFF"/>
          </w:tcPr>
          <w:p>
            <w:pPr>
              <w:spacing w:after="0"/>
              <w:rPr>
                <w:sz w:val="12"/>
                <w:szCs w:val="12"/>
                <w:color w:val="auto"/>
              </w:rPr>
            </w:pPr>
          </w:p>
        </w:tc>
        <w:tc>
          <w:tcPr>
            <w:tcW w:w="133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(net capital deficiency)</w:t>
            </w:r>
          </w:p>
        </w:tc>
        <w:tc>
          <w:tcPr>
            <w:tcW w:w="110" w:type="dxa"/>
            <w:vAlign w:val="bottom"/>
            <w:shd w:val="clear" w:color="auto" w:fill="CCEEFF"/>
          </w:tcPr>
          <w:p>
            <w:pPr>
              <w:spacing w:after="0"/>
              <w:rPr>
                <w:sz w:val="12"/>
                <w:szCs w:val="12"/>
                <w:color w:val="auto"/>
              </w:rPr>
            </w:pPr>
          </w:p>
        </w:tc>
        <w:tc>
          <w:tcPr>
            <w:tcW w:w="133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5"/>
              </w:rPr>
              <w:t>(21,940,728)</w:t>
            </w:r>
          </w:p>
        </w:tc>
        <w:tc>
          <w:tcPr>
            <w:tcW w:w="1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88"/>
              </w:rPr>
              <w:t>(31,472,689)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10,243,285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21,794,727</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11,780,960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-3159125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-3159125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-3159125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-3159125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-3159125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-3159125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-286385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-286385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-286385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51879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2"/>
              </w:rPr>
              <w:t>Years ended December 31,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14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59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(May 13, 1998)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10" w:type="dxa"/>
            <w:vAlign w:val="bottom"/>
          </w:tcPr>
          <w:p>
            <w:pPr>
              <w:spacing w:after="0"/>
              <w:rPr>
                <w:sz w:val="4"/>
                <w:szCs w:val="4"/>
                <w:color w:val="auto"/>
              </w:rPr>
            </w:pPr>
          </w:p>
        </w:tc>
        <w:tc>
          <w:tcPr>
            <w:tcW w:w="59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5,390,411</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13,150,078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8,107,629</w:t>
            </w:r>
          </w:p>
        </w:tc>
        <w:tc>
          <w:tcPr>
            <w:tcW w:w="6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28,107,548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and administrative*</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2,615,734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5,653,040</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1,886,967</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10,917,014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8,006,145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18,803,118</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9,994,596</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39,024,562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4"/>
                <w:szCs w:val="14"/>
                <w:color w:val="auto"/>
              </w:rPr>
              <w:t>Interest and other income, net</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600,420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320,000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203,066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10" w:type="dxa"/>
            <w:vAlign w:val="bottom"/>
            <w:shd w:val="clear" w:color="auto" w:fill="CCEEFF"/>
          </w:tcPr>
          <w:p>
            <w:pPr>
              <w:spacing w:after="0"/>
              <w:rPr>
                <w:sz w:val="12"/>
                <w:szCs w:val="12"/>
                <w:color w:val="auto"/>
              </w:rPr>
            </w:pPr>
          </w:p>
        </w:tc>
        <w:tc>
          <w:tcPr>
            <w:tcW w:w="77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(48,113)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(20,832)</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(20,832)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(94,805)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7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(7,453,838)</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8"/>
              </w:rPr>
              <w:t>(18,503,950)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86"/>
              </w:rPr>
              <w:t>(9,812,362)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(37,937,426)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7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computing basic and diluted net loss per share</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5,980,897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7,392,016</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8,650,471</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spacing w:after="0"/>
              <w:rPr>
                <w:sz w:val="20"/>
                <w:szCs w:val="20"/>
                <w:color w:val="auto"/>
              </w:rPr>
            </w:pPr>
            <w:r>
              <w:rPr>
                <w:rFonts w:ascii="Arial" w:cs="Arial" w:eastAsia="Arial" w:hAnsi="Arial"/>
                <w:sz w:val="14"/>
                <w:szCs w:val="14"/>
                <w:color w:val="auto"/>
              </w:rPr>
              <w:t>Pro forma basic and diluted net loss per share</w:t>
            </w:r>
          </w:p>
        </w:tc>
        <w:tc>
          <w:tcPr>
            <w:tcW w:w="110" w:type="dxa"/>
            <w:vAlign w:val="bottom"/>
          </w:tcPr>
          <w:p>
            <w:pPr>
              <w:spacing w:after="0"/>
              <w:rPr>
                <w:sz w:val="19"/>
                <w:szCs w:val="19"/>
                <w:color w:val="auto"/>
              </w:rPr>
            </w:pPr>
          </w:p>
        </w:tc>
        <w:tc>
          <w:tcPr>
            <w:tcW w:w="5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640"/>
              <w:spacing w:after="0"/>
              <w:rPr>
                <w:sz w:val="20"/>
                <w:szCs w:val="20"/>
                <w:color w:val="auto"/>
              </w:rPr>
            </w:pPr>
            <w:r>
              <w:rPr>
                <w:rFonts w:ascii="Arial" w:cs="Arial" w:eastAsia="Arial" w:hAnsi="Arial"/>
                <w:sz w:val="14"/>
                <w:szCs w:val="14"/>
                <w:color w:val="auto"/>
              </w:rPr>
              <w:t>(0.55)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9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computing pro forma basic and diluted net loss per share</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17,757,617</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9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1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*Includes non-cash stock-based compensation of the following:</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w w:val="89"/>
              </w:rPr>
              <w:t>1,213,649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1,956,874</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551,176</w:t>
            </w:r>
          </w:p>
        </w:tc>
        <w:tc>
          <w:tcPr>
            <w:tcW w:w="6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3,819,320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and administrative</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680,158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2,144,721</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(307,772)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2,517,107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non-cash stock-based compensation</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1,893,807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4,101,595</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243,404</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6,336,427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-1667510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-1667510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-1667510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-1667510</wp:posOffset>
            </wp:positionV>
            <wp:extent cx="52705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-1667510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-1667510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-1667510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-1667510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-1667510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-1667510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-1409700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-1409700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-1409700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-1409700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-1409700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-1409700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-1409700</wp:posOffset>
            </wp:positionV>
            <wp:extent cx="48450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-1015365</wp:posOffset>
            </wp:positionV>
            <wp:extent cx="48450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-758190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-758190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-758190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52705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48450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(NET CAPITAL DEFICIENCY)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gridSpan w:val="5"/>
          </w:tcPr>
          <w:p>
            <w:pPr>
              <w:ind w:left="36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00" w:type="dxa"/>
            <w:vAlign w:val="bottom"/>
            <w:gridSpan w:val="5"/>
          </w:tcPr>
          <w:p>
            <w:pPr>
              <w:ind w:left="240"/>
              <w:spacing w:after="0" w:line="149"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166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Common Stock</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Notes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1"/>
              </w:rPr>
              <w:t>Receivable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During the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w w:val="86"/>
              </w:rPr>
              <w:t>Equity (Net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from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1"/>
                <w:szCs w:val="11"/>
                <w:color w:val="auto"/>
              </w:rPr>
            </w:pPr>
          </w:p>
        </w:tc>
        <w:tc>
          <w:tcPr>
            <w:tcW w:w="9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Development</w:t>
            </w:r>
          </w:p>
        </w:tc>
        <w:tc>
          <w:tcPr>
            <w:tcW w:w="11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Capital</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Stockholders</w:t>
            </w:r>
          </w:p>
        </w:tc>
        <w:tc>
          <w:tcPr>
            <w:tcW w:w="2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Deficiency)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 inception (May 13,</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1998)</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Issuance of common stock</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to directors for cash in</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420"/>
              <w:spacing w:after="0" w:line="159" w:lineRule="exact"/>
              <w:rPr>
                <w:sz w:val="20"/>
                <w:szCs w:val="20"/>
                <w:color w:val="auto"/>
              </w:rPr>
            </w:pPr>
            <w:r>
              <w:rPr>
                <w:rFonts w:ascii="Arial" w:cs="Arial" w:eastAsia="Arial" w:hAnsi="Arial"/>
                <w:sz w:val="14"/>
                <w:szCs w:val="14"/>
                <w:color w:val="auto"/>
              </w:rPr>
              <w:t>June and July 1998</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9"/>
              </w:rPr>
              <w:t>7,500,000</w:t>
            </w:r>
          </w:p>
        </w:tc>
        <w:tc>
          <w:tcPr>
            <w:tcW w:w="180" w:type="dxa"/>
            <w:vAlign w:val="bottom"/>
          </w:tcPr>
          <w:p>
            <w:pPr>
              <w:spacing w:after="0"/>
              <w:rPr>
                <w:sz w:val="13"/>
                <w:szCs w:val="13"/>
                <w:color w:val="auto"/>
              </w:rPr>
            </w:pPr>
          </w:p>
        </w:tc>
        <w:tc>
          <w:tcPr>
            <w:tcW w:w="9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7,500</w:t>
            </w:r>
          </w:p>
        </w:tc>
        <w:tc>
          <w:tcPr>
            <w:tcW w:w="10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common stock</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 a director for cash in</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May 1999</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1,770,939</w:t>
            </w:r>
          </w:p>
        </w:tc>
        <w:tc>
          <w:tcPr>
            <w:tcW w:w="1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63,163</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64,934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Issuance of common stock</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to Stanford and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directors in conjunction</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with a license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agreement in October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1999</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30,000</w:t>
            </w:r>
          </w:p>
        </w:tc>
        <w:tc>
          <w:tcPr>
            <w:tcW w:w="180" w:type="dxa"/>
            <w:vAlign w:val="bottom"/>
          </w:tcPr>
          <w:p>
            <w:pPr>
              <w:spacing w:after="0"/>
              <w:rPr>
                <w:sz w:val="13"/>
                <w:szCs w:val="13"/>
                <w:color w:val="auto"/>
              </w:rPr>
            </w:pPr>
          </w:p>
        </w:tc>
        <w:tc>
          <w:tcPr>
            <w:tcW w:w="9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1,070</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Series A</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convertible preferred</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to institutional</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and individual</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investors at $1.08 per</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 for cash and</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of notes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net of</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costs of</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$33,756 in May 1999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607,761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622,626</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Common stock issued to</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attorneys and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consultants in</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exchange for services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420"/>
              <w:spacing w:after="0" w:line="159" w:lineRule="exact"/>
              <w:rPr>
                <w:sz w:val="20"/>
                <w:szCs w:val="20"/>
                <w:color w:val="auto"/>
              </w:rPr>
            </w:pPr>
            <w:r>
              <w:rPr>
                <w:rFonts w:ascii="Arial" w:cs="Arial" w:eastAsia="Arial" w:hAnsi="Arial"/>
                <w:sz w:val="14"/>
                <w:szCs w:val="14"/>
                <w:color w:val="auto"/>
              </w:rPr>
              <w:t>in May 1999</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48,750</w:t>
            </w:r>
          </w:p>
        </w:tc>
        <w:tc>
          <w:tcPr>
            <w:tcW w:w="180" w:type="dxa"/>
            <w:vAlign w:val="bottom"/>
          </w:tcPr>
          <w:p>
            <w:pPr>
              <w:spacing w:after="0"/>
              <w:rPr>
                <w:sz w:val="13"/>
                <w:szCs w:val="13"/>
                <w:color w:val="auto"/>
              </w:rPr>
            </w:pPr>
          </w:p>
        </w:tc>
        <w:tc>
          <w:tcPr>
            <w:tcW w:w="9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1,739</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common stock</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upon option exercise</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60,000</w:t>
            </w:r>
          </w:p>
        </w:tc>
        <w:tc>
          <w:tcPr>
            <w:tcW w:w="1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Repurchase of common</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stock held by director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420"/>
              <w:spacing w:after="0" w:line="159" w:lineRule="exact"/>
              <w:rPr>
                <w:sz w:val="20"/>
                <w:szCs w:val="20"/>
                <w:color w:val="auto"/>
              </w:rPr>
            </w:pPr>
            <w:r>
              <w:rPr>
                <w:rFonts w:ascii="Arial" w:cs="Arial" w:eastAsia="Arial" w:hAnsi="Arial"/>
                <w:sz w:val="14"/>
                <w:szCs w:val="14"/>
                <w:color w:val="auto"/>
              </w:rPr>
              <w:t>in March 1999</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(750,000)</w:t>
            </w:r>
          </w:p>
        </w:tc>
        <w:tc>
          <w:tcPr>
            <w:tcW w:w="94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500</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Deferred compensation</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 options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granted to</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nonemployees</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64,935</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(64,935)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deferred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7,350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Net loss from inception to</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December 31, 1999</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(321,110)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(321,110)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Balance at December 31, 1999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607,761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622,626</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8,659,689</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8,660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126,367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(321,110)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(243,668)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Issuance of Series B</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convertible preferred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stock to institutional</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and individual</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investors at $3.00 per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share for cash, net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issuance costs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420"/>
              <w:spacing w:after="0" w:line="149" w:lineRule="exact"/>
              <w:rPr>
                <w:sz w:val="20"/>
                <w:szCs w:val="20"/>
                <w:color w:val="auto"/>
              </w:rPr>
            </w:pPr>
            <w:r>
              <w:rPr>
                <w:rFonts w:ascii="Arial" w:cs="Arial" w:eastAsia="Arial" w:hAnsi="Arial"/>
                <w:sz w:val="14"/>
                <w:szCs w:val="14"/>
                <w:color w:val="auto"/>
              </w:rPr>
              <w:t>$19,232 in January</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2000</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399,999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6"/>
              </w:rPr>
              <w:t>1,180,765</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Deferred compensation</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 options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granted to an employee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and nonemployees</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248,118</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(248,118)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2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deferred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90,271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(1,846,166)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(1,846,166)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Balance at December 31, 2000</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(carried forward)</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6"/>
              </w:rPr>
              <w:t>1,007,760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6"/>
              </w:rPr>
              <w:t>1,803,391</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8,659,689</w:t>
            </w:r>
          </w:p>
        </w:tc>
        <w:tc>
          <w:tcPr>
            <w:tcW w:w="1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8,660</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374,485</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(215,432)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(2,167,276)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(1,999,563)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(NET CAPITAL DEFICIENCY)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Convertible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2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97"/>
              </w:rPr>
              <w:t>During the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Equity (Net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11"/>
                <w:szCs w:val="11"/>
                <w:color w:val="auto"/>
              </w:rPr>
            </w:pPr>
          </w:p>
        </w:tc>
        <w:tc>
          <w:tcPr>
            <w:tcW w:w="9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Deferred</w:t>
            </w:r>
          </w:p>
        </w:tc>
        <w:tc>
          <w:tcPr>
            <w:tcW w:w="10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Development</w:t>
            </w:r>
          </w:p>
        </w:tc>
        <w:tc>
          <w:tcPr>
            <w:tcW w:w="11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Stockholders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Stage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Deficiency)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 December 31, 2000</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(brought forward)</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1,007,760</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7"/>
              </w:rPr>
              <w:t>$  1,803,391</w:t>
            </w: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6"/>
              </w:rPr>
              <w:t>8,659,689</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8,660</w:t>
            </w:r>
          </w:p>
        </w:tc>
        <w:tc>
          <w:tcPr>
            <w:tcW w:w="9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   374,485</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(215,432)</w:t>
            </w:r>
          </w:p>
        </w:tc>
        <w:tc>
          <w:tcPr>
            <w:tcW w:w="10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  (2,167,276)</w:t>
            </w:r>
          </w:p>
        </w:tc>
        <w:tc>
          <w:tcPr>
            <w:tcW w:w="28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(1,999,563)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ind w:left="200"/>
              <w:spacing w:after="0" w:line="138" w:lineRule="exact"/>
              <w:rPr>
                <w:sz w:val="20"/>
                <w:szCs w:val="20"/>
                <w:color w:val="auto"/>
              </w:rPr>
            </w:pPr>
            <w:r>
              <w:rPr>
                <w:rFonts w:ascii="Arial" w:cs="Arial" w:eastAsia="Arial" w:hAnsi="Arial"/>
                <w:sz w:val="14"/>
                <w:szCs w:val="14"/>
                <w:color w:val="auto"/>
              </w:rPr>
              <w:t>Issuance of Series B convertible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to consultants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in exchange for services in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ind w:left="420"/>
              <w:spacing w:after="0" w:line="159" w:lineRule="exact"/>
              <w:rPr>
                <w:sz w:val="20"/>
                <w:szCs w:val="20"/>
                <w:color w:val="auto"/>
              </w:rPr>
            </w:pPr>
            <w:r>
              <w:rPr>
                <w:rFonts w:ascii="Arial" w:cs="Arial" w:eastAsia="Arial" w:hAnsi="Arial"/>
                <w:sz w:val="14"/>
                <w:szCs w:val="14"/>
                <w:color w:val="auto"/>
              </w:rPr>
              <w:t>January and April 2001</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11,534</w:t>
            </w: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204,709</w:t>
            </w: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3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Series BB convertible</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to institutional</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and individual investors at</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$4.033 per share upon</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conversion of promissory notes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 May 2001</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268,077</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1,081,155</w:t>
            </w: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ind w:left="200"/>
              <w:spacing w:after="0" w:line="138" w:lineRule="exact"/>
              <w:rPr>
                <w:sz w:val="20"/>
                <w:szCs w:val="20"/>
                <w:color w:val="auto"/>
              </w:rPr>
            </w:pPr>
            <w:r>
              <w:rPr>
                <w:rFonts w:ascii="Arial" w:cs="Arial" w:eastAsia="Arial" w:hAnsi="Arial"/>
                <w:sz w:val="14"/>
                <w:szCs w:val="14"/>
                <w:color w:val="auto"/>
              </w:rPr>
              <w:t>Issuance of Series C convertible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to institutional</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and individual investors at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$7.066 per share for cash, net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of issuance costs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approximately $95,000 in May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ind w:left="420"/>
              <w:spacing w:after="0" w:line="159" w:lineRule="exact"/>
              <w:rPr>
                <w:sz w:val="20"/>
                <w:szCs w:val="20"/>
                <w:color w:val="auto"/>
              </w:rPr>
            </w:pPr>
            <w:r>
              <w:rPr>
                <w:rFonts w:ascii="Arial" w:cs="Arial" w:eastAsia="Arial" w:hAnsi="Arial"/>
                <w:sz w:val="14"/>
                <w:szCs w:val="14"/>
                <w:color w:val="auto"/>
              </w:rPr>
              <w:t>and June 2001</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3,806,957</w:t>
            </w:r>
          </w:p>
        </w:tc>
        <w:tc>
          <w:tcPr>
            <w:tcW w:w="2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6"/>
              </w:rPr>
              <w:t>26,804,967</w:t>
            </w: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3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Series C convertible</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to consultants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 exchange for services in</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October 2001</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1,326</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20,049</w:t>
            </w: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ind w:left="200"/>
              <w:spacing w:after="0" w:line="138" w:lineRule="exact"/>
              <w:rPr>
                <w:sz w:val="20"/>
                <w:szCs w:val="20"/>
                <w:color w:val="auto"/>
              </w:rPr>
            </w:pPr>
            <w:r>
              <w:rPr>
                <w:rFonts w:ascii="Arial" w:cs="Arial" w:eastAsia="Arial" w:hAnsi="Arial"/>
                <w:sz w:val="14"/>
                <w:szCs w:val="14"/>
                <w:color w:val="auto"/>
              </w:rPr>
              <w:t>Issuance of common stock to a</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consultant for cash below fair</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ind w:left="420"/>
              <w:spacing w:after="0" w:line="159" w:lineRule="exact"/>
              <w:rPr>
                <w:sz w:val="20"/>
                <w:szCs w:val="20"/>
                <w:color w:val="auto"/>
              </w:rPr>
            </w:pPr>
            <w:r>
              <w:rPr>
                <w:rFonts w:ascii="Arial" w:cs="Arial" w:eastAsia="Arial" w:hAnsi="Arial"/>
                <w:sz w:val="14"/>
                <w:szCs w:val="14"/>
                <w:color w:val="auto"/>
              </w:rPr>
              <w:t>value in April 2001</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50,000</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c>
          <w:tcPr>
            <w:tcW w:w="9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49,950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 common stock upon</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 exercises</w:t>
            </w:r>
          </w:p>
        </w:tc>
        <w:tc>
          <w:tcPr>
            <w:tcW w:w="7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767,835</w:t>
            </w:r>
          </w:p>
        </w:tc>
        <w:tc>
          <w:tcPr>
            <w:tcW w:w="58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w w:val="76"/>
              </w:rPr>
              <w:t>768</w:t>
            </w:r>
          </w:p>
        </w:tc>
        <w:tc>
          <w:tcPr>
            <w:tcW w:w="9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438,324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(438,165)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ind w:left="200"/>
              <w:spacing w:after="0" w:line="138" w:lineRule="exact"/>
              <w:rPr>
                <w:sz w:val="20"/>
                <w:szCs w:val="20"/>
                <w:color w:val="auto"/>
              </w:rPr>
            </w:pPr>
            <w:r>
              <w:rPr>
                <w:rFonts w:ascii="Arial" w:cs="Arial" w:eastAsia="Arial" w:hAnsi="Arial"/>
                <w:sz w:val="14"/>
                <w:szCs w:val="14"/>
                <w:color w:val="auto"/>
              </w:rPr>
              <w:t>Issuance of common stock in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Arial" w:cs="Arial" w:eastAsia="Arial" w:hAnsi="Arial"/>
                <w:sz w:val="14"/>
                <w:szCs w:val="14"/>
                <w:color w:val="auto"/>
              </w:rPr>
              <w:t>conjunction with a license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ind w:left="420"/>
              <w:spacing w:after="0" w:line="159" w:lineRule="exact"/>
              <w:rPr>
                <w:sz w:val="20"/>
                <w:szCs w:val="20"/>
                <w:color w:val="auto"/>
              </w:rPr>
            </w:pPr>
            <w:r>
              <w:rPr>
                <w:rFonts w:ascii="Arial" w:cs="Arial" w:eastAsia="Arial" w:hAnsi="Arial"/>
                <w:sz w:val="14"/>
                <w:szCs w:val="14"/>
                <w:color w:val="auto"/>
              </w:rPr>
              <w:t>agreement</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1,000</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9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15,106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15,107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Deferred compensation related to</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options granted to employees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and nonemployees</w:t>
            </w:r>
          </w:p>
        </w:tc>
        <w:tc>
          <w:tcPr>
            <w:tcW w:w="7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10,225,292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5"/>
              </w:rPr>
              <w:t>(10,225,292)</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deferred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3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1,848,807</w:t>
            </w: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1,848,807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(7,453,838)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(7,453,838)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Balance at December 31, 2001 (carried</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forward)</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5,095,654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6"/>
              </w:rPr>
              <w:t>29,914,271</w:t>
            </w: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6"/>
              </w:rPr>
              <w:t>9,478,524</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9,479</w:t>
            </w:r>
          </w:p>
        </w:tc>
        <w:tc>
          <w:tcPr>
            <w:tcW w:w="9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11,103,157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(438,165)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(8,591,917)</w:t>
            </w:r>
          </w:p>
        </w:tc>
        <w:tc>
          <w:tcPr>
            <w:tcW w:w="10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(9,621,114)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(7,538,560)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(NET CAPITAL DEFICIENCY)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gridSpan w:val="3"/>
          </w:tcPr>
          <w:p>
            <w:pPr>
              <w:ind w:left="36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2"/>
                <w:szCs w:val="12"/>
                <w:color w:val="auto"/>
              </w:rPr>
            </w:pPr>
          </w:p>
        </w:tc>
        <w:tc>
          <w:tcPr>
            <w:tcW w:w="126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6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Notes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w w:val="90"/>
              </w:rPr>
              <w:t>Receivable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During the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Equity (Net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from</w:t>
            </w:r>
          </w:p>
        </w:tc>
        <w:tc>
          <w:tcPr>
            <w:tcW w:w="10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Deferred</w:t>
            </w: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Development</w:t>
            </w:r>
          </w:p>
        </w:tc>
        <w:tc>
          <w:tcPr>
            <w:tcW w:w="11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Stockholders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Stage</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Deficiency)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Balance at December 31, 2001 (brought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forward)</w:t>
            </w:r>
          </w:p>
        </w:tc>
        <w:tc>
          <w:tcPr>
            <w:tcW w:w="7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5,095,654</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$ 29,914,271</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9,478,524</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0"/>
              </w:rPr>
              <w:t>$  9,479</w:t>
            </w:r>
          </w:p>
        </w:tc>
        <w:tc>
          <w:tcPr>
            <w:tcW w:w="9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0"/>
              </w:rPr>
              <w:t>$ 11,103,157</w:t>
            </w:r>
          </w:p>
        </w:tc>
        <w:tc>
          <w:tcPr>
            <w:tcW w:w="10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   (438,165)</w:t>
            </w:r>
          </w:p>
        </w:tc>
        <w:tc>
          <w:tcPr>
            <w:tcW w:w="10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92"/>
              </w:rPr>
              <w:t>$   (8,591,917)</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90"/>
              </w:rPr>
              <w:t>$   (9,621,114)</w:t>
            </w:r>
          </w:p>
        </w:tc>
        <w:tc>
          <w:tcPr>
            <w:tcW w:w="11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  (7,538,560)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200"/>
              <w:spacing w:after="0" w:line="138" w:lineRule="exact"/>
              <w:rPr>
                <w:sz w:val="20"/>
                <w:szCs w:val="20"/>
                <w:color w:val="auto"/>
              </w:rPr>
            </w:pPr>
            <w:r>
              <w:rPr>
                <w:rFonts w:ascii="Arial" w:cs="Arial" w:eastAsia="Arial" w:hAnsi="Arial"/>
                <w:sz w:val="14"/>
                <w:szCs w:val="14"/>
                <w:color w:val="auto"/>
              </w:rPr>
              <w:t>Issuance of Series C convertible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420"/>
              <w:spacing w:after="0" w:line="149" w:lineRule="exact"/>
              <w:rPr>
                <w:sz w:val="20"/>
                <w:szCs w:val="20"/>
                <w:color w:val="auto"/>
              </w:rPr>
            </w:pPr>
            <w:r>
              <w:rPr>
                <w:rFonts w:ascii="Arial" w:cs="Arial" w:eastAsia="Arial" w:hAnsi="Arial"/>
                <w:sz w:val="14"/>
                <w:szCs w:val="14"/>
                <w:color w:val="auto"/>
                <w:w w:val="96"/>
              </w:rPr>
              <w:t>preferred stock to institutional and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420"/>
              <w:spacing w:after="0" w:line="149" w:lineRule="exact"/>
              <w:rPr>
                <w:sz w:val="20"/>
                <w:szCs w:val="20"/>
                <w:color w:val="auto"/>
              </w:rPr>
            </w:pPr>
            <w:r>
              <w:rPr>
                <w:rFonts w:ascii="Arial" w:cs="Arial" w:eastAsia="Arial" w:hAnsi="Arial"/>
                <w:sz w:val="14"/>
                <w:szCs w:val="14"/>
                <w:color w:val="auto"/>
                <w:w w:val="98"/>
              </w:rPr>
              <w:t>individual investors at $7.066 per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420"/>
              <w:spacing w:after="0" w:line="149" w:lineRule="exact"/>
              <w:rPr>
                <w:sz w:val="20"/>
                <w:szCs w:val="20"/>
                <w:color w:val="auto"/>
              </w:rPr>
            </w:pPr>
            <w:r>
              <w:rPr>
                <w:rFonts w:ascii="Arial" w:cs="Arial" w:eastAsia="Arial" w:hAnsi="Arial"/>
                <w:sz w:val="14"/>
                <w:szCs w:val="14"/>
                <w:color w:val="auto"/>
              </w:rPr>
              <w:t>share for cash, net of issuance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420"/>
              <w:spacing w:after="0" w:line="149" w:lineRule="exact"/>
              <w:rPr>
                <w:sz w:val="20"/>
                <w:szCs w:val="20"/>
                <w:color w:val="auto"/>
              </w:rPr>
            </w:pPr>
            <w:r>
              <w:rPr>
                <w:rFonts w:ascii="Arial" w:cs="Arial" w:eastAsia="Arial" w:hAnsi="Arial"/>
                <w:sz w:val="14"/>
                <w:szCs w:val="14"/>
                <w:color w:val="auto"/>
                <w:w w:val="96"/>
              </w:rPr>
              <w:t>costs of approximately $19,036 in</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420"/>
              <w:spacing w:after="0" w:line="159" w:lineRule="exact"/>
              <w:rPr>
                <w:sz w:val="20"/>
                <w:szCs w:val="20"/>
                <w:color w:val="auto"/>
              </w:rPr>
            </w:pPr>
            <w:r>
              <w:rPr>
                <w:rFonts w:ascii="Arial" w:cs="Arial" w:eastAsia="Arial" w:hAnsi="Arial"/>
                <w:sz w:val="14"/>
                <w:szCs w:val="14"/>
                <w:color w:val="auto"/>
              </w:rPr>
              <w:t>December 2002</w:t>
            </w:r>
          </w:p>
        </w:tc>
        <w:tc>
          <w:tcPr>
            <w:tcW w:w="7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1,672,904</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11,801,703</w:t>
            </w:r>
          </w:p>
        </w:tc>
        <w:tc>
          <w:tcPr>
            <w:tcW w:w="140" w:type="dxa"/>
            <w:vAlign w:val="bottom"/>
          </w:tcPr>
          <w:p>
            <w:pPr>
              <w:spacing w:after="0"/>
              <w:rPr>
                <w:sz w:val="13"/>
                <w:szCs w:val="13"/>
                <w:color w:val="auto"/>
              </w:rPr>
            </w:pP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Issuance of common stock upon option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exercises</w:t>
            </w:r>
          </w:p>
        </w:tc>
        <w:tc>
          <w:tcPr>
            <w:tcW w:w="70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62,334</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deferred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70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4,083,707</w:t>
            </w: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4,083,707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Reduction of deferred compensation</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related to the unamortized portion</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 deferred stock compensation</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8"/>
              </w:rPr>
              <w:t>related to a terminated employee</w:t>
            </w:r>
          </w:p>
        </w:tc>
        <w:tc>
          <w:tcPr>
            <w:tcW w:w="70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(239,722)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239,722</w:t>
            </w:r>
          </w:p>
        </w:tc>
        <w:tc>
          <w:tcPr>
            <w:tcW w:w="10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200"/>
              <w:spacing w:after="0" w:line="138" w:lineRule="exact"/>
              <w:rPr>
                <w:sz w:val="20"/>
                <w:szCs w:val="20"/>
                <w:color w:val="auto"/>
              </w:rPr>
            </w:pPr>
            <w:r>
              <w:rPr>
                <w:rFonts w:ascii="Arial" w:cs="Arial" w:eastAsia="Arial" w:hAnsi="Arial"/>
                <w:sz w:val="14"/>
                <w:szCs w:val="14"/>
                <w:color w:val="auto"/>
              </w:rPr>
              <w:t>Reversal of previously expensed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420"/>
              <w:spacing w:after="0" w:line="149" w:lineRule="exact"/>
              <w:rPr>
                <w:sz w:val="20"/>
                <w:szCs w:val="20"/>
                <w:color w:val="auto"/>
              </w:rPr>
            </w:pPr>
            <w:r>
              <w:rPr>
                <w:rFonts w:ascii="Arial" w:cs="Arial" w:eastAsia="Arial" w:hAnsi="Arial"/>
                <w:sz w:val="14"/>
                <w:szCs w:val="14"/>
                <w:color w:val="auto"/>
                <w:w w:val="93"/>
              </w:rPr>
              <w:t>deferred compensation related to a</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420"/>
              <w:spacing w:after="0" w:line="149" w:lineRule="exact"/>
              <w:rPr>
                <w:sz w:val="20"/>
                <w:szCs w:val="20"/>
                <w:color w:val="auto"/>
              </w:rPr>
            </w:pPr>
            <w:r>
              <w:rPr>
                <w:rFonts w:ascii="Arial" w:cs="Arial" w:eastAsia="Arial" w:hAnsi="Arial"/>
                <w:sz w:val="14"/>
                <w:szCs w:val="14"/>
                <w:color w:val="auto"/>
                <w:w w:val="93"/>
              </w:rPr>
              <w:t>terminated employee based on the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ind w:left="420"/>
              <w:spacing w:after="0" w:line="159" w:lineRule="exact"/>
              <w:rPr>
                <w:sz w:val="20"/>
                <w:szCs w:val="20"/>
                <w:color w:val="auto"/>
              </w:rPr>
            </w:pPr>
            <w:r>
              <w:rPr>
                <w:rFonts w:ascii="Arial" w:cs="Arial" w:eastAsia="Arial" w:hAnsi="Arial"/>
                <w:sz w:val="14"/>
                <w:szCs w:val="14"/>
                <w:color w:val="auto"/>
              </w:rPr>
              <w:t>straight line method</w:t>
            </w:r>
          </w:p>
        </w:tc>
        <w:tc>
          <w:tcPr>
            <w:tcW w:w="70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(50,112)</w:t>
            </w:r>
          </w:p>
        </w:tc>
        <w:tc>
          <w:tcPr>
            <w:tcW w:w="100" w:type="dxa"/>
            <w:vAlign w:val="bottom"/>
          </w:tcPr>
          <w:p>
            <w:pPr>
              <w:spacing w:after="0"/>
              <w:rPr>
                <w:sz w:val="13"/>
                <w:szCs w:val="13"/>
                <w:color w:val="auto"/>
              </w:rPr>
            </w:pP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(50,112)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Stock-based compensation related to</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lapsing repurchase right of stock</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held by a non-employee</w:t>
            </w: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68,000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(18,503,950)</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(18,503,950)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Unrealized loss on short-term</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investments</w:t>
            </w:r>
          </w:p>
        </w:tc>
        <w:tc>
          <w:tcPr>
            <w:tcW w:w="70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(66)</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(18,504,016)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Balance at December 31, 2002 (carried</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forward)</w:t>
            </w:r>
          </w:p>
        </w:tc>
        <w:tc>
          <w:tcPr>
            <w:tcW w:w="7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6,768,558</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41,715,974</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9,540,858</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9,541</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10,881,514</w:t>
            </w:r>
          </w:p>
        </w:tc>
        <w:tc>
          <w:tcPr>
            <w:tcW w:w="14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(438,165)</w:t>
            </w:r>
          </w:p>
        </w:tc>
        <w:tc>
          <w:tcPr>
            <w:tcW w:w="10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(4,268,488)</w:t>
            </w: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(28,125,064)</w:t>
            </w:r>
          </w:p>
        </w:tc>
        <w:tc>
          <w:tcPr>
            <w:tcW w:w="11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(66)</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(21,940,728)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(NET CAPITAL DEFICIENCY)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gridSpan w:val="5"/>
          </w:tcPr>
          <w:p>
            <w:pPr>
              <w:ind w:left="360"/>
              <w:spacing w:after="0"/>
              <w:rPr>
                <w:sz w:val="20"/>
                <w:szCs w:val="20"/>
                <w:color w:val="auto"/>
              </w:rPr>
            </w:pPr>
            <w:r>
              <w:rPr>
                <w:rFonts w:ascii="Arial" w:cs="Arial" w:eastAsia="Arial" w:hAnsi="Arial"/>
                <w:sz w:val="14"/>
                <w:szCs w:val="14"/>
                <w:b w:val="1"/>
                <w:bCs w:val="1"/>
                <w:color w:val="auto"/>
              </w:rPr>
              <w:t>Convertible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gridSpan w:val="5"/>
          </w:tcPr>
          <w:p>
            <w:pPr>
              <w:ind w:left="240"/>
              <w:spacing w:after="0" w:line="149" w:lineRule="exact"/>
              <w:rPr>
                <w:sz w:val="20"/>
                <w:szCs w:val="20"/>
                <w:color w:val="auto"/>
              </w:rPr>
            </w:pPr>
            <w:r>
              <w:rPr>
                <w:rFonts w:ascii="Arial" w:cs="Arial" w:eastAsia="Arial" w:hAnsi="Arial"/>
                <w:sz w:val="14"/>
                <w:szCs w:val="14"/>
                <w:b w:val="1"/>
                <w:bCs w:val="1"/>
                <w:color w:val="auto"/>
              </w:rPr>
              <w:t>Preferred Stock</w:t>
            </w:r>
          </w:p>
        </w:tc>
        <w:tc>
          <w:tcPr>
            <w:tcW w:w="1520" w:type="dxa"/>
            <w:vAlign w:val="bottom"/>
            <w:gridSpan w:val="5"/>
          </w:tcPr>
          <w:p>
            <w:pPr>
              <w:ind w:left="220"/>
              <w:spacing w:after="0" w:line="149"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1"/>
              </w:rPr>
              <w:t>Receivable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1"/>
                <w:szCs w:val="11"/>
                <w:color w:val="auto"/>
              </w:rPr>
            </w:pPr>
          </w:p>
        </w:tc>
        <w:tc>
          <w:tcPr>
            <w:tcW w:w="10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Equity (Net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1"/>
                <w:szCs w:val="11"/>
                <w:color w:val="auto"/>
              </w:rPr>
            </w:pPr>
          </w:p>
        </w:tc>
        <w:tc>
          <w:tcPr>
            <w:tcW w:w="90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from</w:t>
            </w:r>
          </w:p>
        </w:tc>
        <w:tc>
          <w:tcPr>
            <w:tcW w:w="120" w:type="dxa"/>
            <w:vAlign w:val="bottom"/>
          </w:tcPr>
          <w:p>
            <w:pPr>
              <w:spacing w:after="0"/>
              <w:rPr>
                <w:sz w:val="11"/>
                <w:szCs w:val="11"/>
                <w:color w:val="auto"/>
              </w:rPr>
            </w:pPr>
          </w:p>
        </w:tc>
        <w:tc>
          <w:tcPr>
            <w:tcW w:w="9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3"/>
              </w:rPr>
              <w:t>Deferred</w:t>
            </w:r>
          </w:p>
        </w:tc>
        <w:tc>
          <w:tcPr>
            <w:tcW w:w="10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Development</w:t>
            </w:r>
          </w:p>
        </w:tc>
        <w:tc>
          <w:tcPr>
            <w:tcW w:w="11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Stage</w:t>
            </w:r>
          </w:p>
        </w:tc>
        <w:tc>
          <w:tcPr>
            <w:tcW w:w="8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Deficiency)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Balance at December 31, 2002 (brought</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forward)</w:t>
            </w:r>
          </w:p>
        </w:tc>
        <w:tc>
          <w:tcPr>
            <w:tcW w:w="5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83"/>
              </w:rPr>
              <w:t>6,768,558</w:t>
            </w:r>
          </w:p>
        </w:tc>
        <w:tc>
          <w:tcPr>
            <w:tcW w:w="960" w:type="dxa"/>
            <w:vAlign w:val="bottom"/>
            <w:gridSpan w:val="4"/>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$ 41,715,974</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9,540,858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9,541</w:t>
            </w:r>
          </w:p>
        </w:tc>
        <w:tc>
          <w:tcPr>
            <w:tcW w:w="2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10,881,514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(438,165)</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(4,268,488)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5"/>
              </w:rPr>
              <w:t>(28,125,064)</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5"/>
              </w:rPr>
              <w:t>(21,940,728)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00"/>
              <w:spacing w:after="0" w:line="138" w:lineRule="exact"/>
              <w:rPr>
                <w:sz w:val="20"/>
                <w:szCs w:val="20"/>
                <w:color w:val="auto"/>
              </w:rPr>
            </w:pPr>
            <w:r>
              <w:rPr>
                <w:rFonts w:ascii="Arial" w:cs="Arial" w:eastAsia="Arial" w:hAnsi="Arial"/>
                <w:sz w:val="14"/>
                <w:szCs w:val="14"/>
                <w:color w:val="auto"/>
              </w:rPr>
              <w:t>Issuance of common stock upon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420"/>
              <w:spacing w:after="0" w:line="159" w:lineRule="exact"/>
              <w:rPr>
                <w:sz w:val="20"/>
                <w:szCs w:val="20"/>
                <w:color w:val="auto"/>
              </w:rPr>
            </w:pPr>
            <w:r>
              <w:rPr>
                <w:rFonts w:ascii="Arial" w:cs="Arial" w:eastAsia="Arial" w:hAnsi="Arial"/>
                <w:sz w:val="14"/>
                <w:szCs w:val="14"/>
                <w:color w:val="auto"/>
              </w:rPr>
              <w:t>option exercises</w:t>
            </w:r>
          </w:p>
        </w:tc>
        <w:tc>
          <w:tcPr>
            <w:tcW w:w="56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w w:val="76"/>
              </w:rPr>
              <w:t>367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Deferred compensation related to</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options granted to employees and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nonemployees</w:t>
            </w:r>
          </w:p>
        </w:tc>
        <w:tc>
          <w:tcPr>
            <w:tcW w:w="5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1,158,943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(1,158,943)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deferred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56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1,559,389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1,559,389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Reduction of deferred compensation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 the unamortized</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portion of deferred stock</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 related to</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terminated employees</w:t>
            </w:r>
          </w:p>
        </w:tc>
        <w:tc>
          <w:tcPr>
            <w:tcW w:w="5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(1,588,518)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1,588,518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00"/>
              <w:spacing w:after="0" w:line="138" w:lineRule="exact"/>
              <w:rPr>
                <w:sz w:val="20"/>
                <w:szCs w:val="20"/>
                <w:color w:val="auto"/>
              </w:rPr>
            </w:pPr>
            <w:r>
              <w:rPr>
                <w:rFonts w:ascii="Arial" w:cs="Arial" w:eastAsia="Arial" w:hAnsi="Arial"/>
                <w:sz w:val="14"/>
                <w:szCs w:val="14"/>
                <w:color w:val="auto"/>
              </w:rPr>
              <w:t>Reversal of previously expensed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420"/>
              <w:spacing w:after="0" w:line="149" w:lineRule="exact"/>
              <w:rPr>
                <w:sz w:val="20"/>
                <w:szCs w:val="20"/>
                <w:color w:val="auto"/>
              </w:rPr>
            </w:pPr>
            <w:r>
              <w:rPr>
                <w:rFonts w:ascii="Arial" w:cs="Arial" w:eastAsia="Arial" w:hAnsi="Arial"/>
                <w:sz w:val="14"/>
                <w:szCs w:val="14"/>
                <w:color w:val="auto"/>
                <w:w w:val="94"/>
              </w:rPr>
              <w:t>deferred compensation related to</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420"/>
              <w:spacing w:after="0" w:line="159" w:lineRule="exact"/>
              <w:rPr>
                <w:sz w:val="20"/>
                <w:szCs w:val="20"/>
                <w:color w:val="auto"/>
              </w:rPr>
            </w:pPr>
            <w:r>
              <w:rPr>
                <w:rFonts w:ascii="Arial" w:cs="Arial" w:eastAsia="Arial" w:hAnsi="Arial"/>
                <w:sz w:val="14"/>
                <w:szCs w:val="14"/>
                <w:color w:val="auto"/>
              </w:rPr>
              <w:t>terminated employees</w:t>
            </w:r>
          </w:p>
        </w:tc>
        <w:tc>
          <w:tcPr>
            <w:tcW w:w="56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9"/>
              </w:rPr>
              <w:t>(1,383,985)</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(1,383,985)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Repurchase of common stock 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reduction of note payable upon</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termination of employees</w:t>
            </w:r>
          </w:p>
        </w:tc>
        <w:tc>
          <w:tcPr>
            <w:tcW w:w="5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3"/>
              </w:rPr>
              <w:t>(206,243)</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(154,401)</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154,607</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tcPr>
          <w:p>
            <w:pPr>
              <w:ind w:left="200"/>
              <w:spacing w:after="0" w:line="138" w:lineRule="exact"/>
              <w:rPr>
                <w:sz w:val="20"/>
                <w:szCs w:val="20"/>
                <w:color w:val="auto"/>
              </w:rPr>
            </w:pPr>
            <w:r>
              <w:rPr>
                <w:rFonts w:ascii="Arial" w:cs="Arial" w:eastAsia="Arial" w:hAnsi="Arial"/>
                <w:sz w:val="14"/>
                <w:szCs w:val="14"/>
                <w:color w:val="auto"/>
                <w:w w:val="99"/>
              </w:rPr>
              <w:t>Repayment of note receivable from</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ind w:left="420"/>
              <w:spacing w:after="0" w:line="159" w:lineRule="exact"/>
              <w:rPr>
                <w:sz w:val="20"/>
                <w:szCs w:val="20"/>
                <w:color w:val="auto"/>
              </w:rPr>
            </w:pPr>
            <w:r>
              <w:rPr>
                <w:rFonts w:ascii="Arial" w:cs="Arial" w:eastAsia="Arial" w:hAnsi="Arial"/>
                <w:sz w:val="14"/>
                <w:szCs w:val="14"/>
                <w:color w:val="auto"/>
              </w:rPr>
              <w:t>stockholder</w:t>
            </w:r>
          </w:p>
        </w:tc>
        <w:tc>
          <w:tcPr>
            <w:tcW w:w="56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37,300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37,300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Stock-based compensation related to</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lapsing repurchase right of stock</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held by a non-employee</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6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(9,812,362)</w:t>
            </w:r>
          </w:p>
        </w:tc>
        <w:tc>
          <w:tcPr>
            <w:tcW w:w="8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(9,812,362)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Unrealized loss on short-term</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investments</w:t>
            </w:r>
          </w:p>
        </w:tc>
        <w:tc>
          <w:tcPr>
            <w:tcW w:w="5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(9,812,939)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5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3"/>
              </w:rPr>
              <w:t>6,768,558</w:t>
            </w:r>
          </w:p>
        </w:tc>
        <w:tc>
          <w:tcPr>
            <w:tcW w:w="960" w:type="dxa"/>
            <w:vAlign w:val="bottom"/>
            <w:gridSpan w:val="4"/>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$ 41,715,974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9,334,982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9,335</w:t>
            </w:r>
          </w:p>
        </w:tc>
        <w:tc>
          <w:tcPr>
            <w:tcW w:w="2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8,981,827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(246,258)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(2,279,524)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(37,937,426)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(31,472,689)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-29210</wp:posOffset>
            </wp:positionV>
            <wp:extent cx="570674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0674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inception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(May 1, 1998)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2"/>
              </w:rPr>
              <w:t>(7,453,838)</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0"/>
              </w:rPr>
              <w:t>(18,503,950)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7"/>
              </w:rPr>
              <w:t>(9,812,362)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(37,937,426)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9,153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20,138</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22,551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compensation, net of reversals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1,848,807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4,033,595</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175,404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6,148,077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200"/>
              <w:spacing w:after="0" w:line="149" w:lineRule="exact"/>
              <w:rPr>
                <w:sz w:val="20"/>
                <w:szCs w:val="20"/>
                <w:color w:val="auto"/>
              </w:rPr>
            </w:pPr>
            <w:r>
              <w:rPr>
                <w:rFonts w:ascii="Arial" w:cs="Arial" w:eastAsia="Arial" w:hAnsi="Arial"/>
                <w:sz w:val="14"/>
                <w:szCs w:val="14"/>
                <w:color w:val="auto"/>
              </w:rPr>
              <w:t>Expense related to stock issued for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9,375</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Expense related to stock issued in conjunction with license agreement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13,470</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200"/>
              <w:spacing w:after="0" w:line="149" w:lineRule="exact"/>
              <w:rPr>
                <w:sz w:val="20"/>
                <w:szCs w:val="20"/>
                <w:color w:val="auto"/>
              </w:rPr>
            </w:pPr>
            <w:r>
              <w:rPr>
                <w:rFonts w:ascii="Arial" w:cs="Arial" w:eastAsia="Arial" w:hAnsi="Arial"/>
                <w:sz w:val="14"/>
                <w:szCs w:val="14"/>
                <w:color w:val="auto"/>
              </w:rPr>
              <w:t>Interest accrued on convertible promissory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46,763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20,832</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20,832</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Expense related to stock issued below fair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227,487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363,487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(649,865)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468,639</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30,089</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(578,752)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545,709</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(4,762)</w:t>
            </w:r>
          </w:p>
        </w:tc>
        <w:tc>
          <w:tcPr>
            <w:tcW w:w="8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789,691</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(56,236)</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(483,168)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321,806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420"/>
              <w:spacing w:after="0"/>
              <w:rPr>
                <w:sz w:val="20"/>
                <w:szCs w:val="20"/>
                <w:color w:val="auto"/>
              </w:rPr>
            </w:pPr>
            <w:r>
              <w:rPr>
                <w:rFonts w:ascii="Arial" w:cs="Arial" w:eastAsia="Arial" w:hAnsi="Arial"/>
                <w:sz w:val="14"/>
                <w:szCs w:val="14"/>
                <w:color w:val="auto"/>
              </w:rPr>
              <w:t>Accrued liabilities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307,327</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171,850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(19,470)</w:t>
            </w: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699,484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(5,430,382)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0"/>
              </w:rPr>
              <w:t>(13,231,423)</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8"/>
              </w:rPr>
              <w:t>(10,002,886)</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(30,400,664)</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(14,087)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(7,035)</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Purchases of short-term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(3,142,246)</w:t>
            </w:r>
          </w:p>
        </w:tc>
        <w:tc>
          <w:tcPr>
            <w:tcW w:w="80" w:type="dxa"/>
            <w:vAlign w:val="bottom"/>
          </w:tcPr>
          <w:p>
            <w:pPr>
              <w:spacing w:after="0"/>
              <w:rPr>
                <w:sz w:val="12"/>
                <w:szCs w:val="12"/>
                <w:color w:val="auto"/>
              </w:rPr>
            </w:pPr>
          </w:p>
        </w:tc>
        <w:tc>
          <w:tcPr>
            <w:tcW w:w="13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8"/>
              </w:rPr>
              <w:t>(11,667,577)</w:t>
            </w:r>
          </w:p>
        </w:tc>
        <w:tc>
          <w:tcPr>
            <w:tcW w:w="8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(14,809,823)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Maturities of short-term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13,305,000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(14,087)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(3,149,281)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1,637,423</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(1,558,789)</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note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462,929</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462,929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Proceeds from convertible promissory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150,000</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5,927</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73,908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Proceeds from repayment of stockholder note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37,300</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to repurchase common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Proceeds from issuance of convertible preferred stock, net of cash paid for issuance costs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26,804,958</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11,801,703</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40,378,669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27,423,814</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11,801,956</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37,574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42,032,556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21,979,345</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(4,578,748)</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7"/>
              </w:rPr>
              <w:t>(8,327,889)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10,073,103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1,000,395</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22,979,740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18,400,992</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22,979,740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18,400,992</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10,073,103</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10,073,103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financing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Conversion of convertible promissory notes and accrued interest to convertible preferred stock</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1,081,155</w:t>
            </w:r>
          </w:p>
        </w:tc>
        <w:tc>
          <w:tcPr>
            <w:tcW w:w="1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1,111,155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stock for services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34,533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Interest paid</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1,686</w:t>
            </w:r>
          </w:p>
        </w:tc>
        <w:tc>
          <w:tcPr>
            <w:tcW w:w="1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-1247140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-1247140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-1247140</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-1247140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-1247140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-1247140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-1247140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-1247140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-1247140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-1247140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-1247140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-1247140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-895350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-895350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-895350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-895350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-895350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-895350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-895350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-895350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-895350</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-895350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-895350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-895350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-638175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-638175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-638175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-638175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-638175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-638175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-638175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-638175</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-638175</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-638175</wp:posOffset>
            </wp:positionV>
            <wp:extent cx="62992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-286385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-286385</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-286385</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-286385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-286385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-286385</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-286385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-286385</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-286385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-286385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-286385</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-286385</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158" w:lineRule="exact"/>
        <w:rPr>
          <w:sz w:val="20"/>
          <w:szCs w:val="20"/>
          <w:color w:val="auto"/>
        </w:rPr>
      </w:pPr>
    </w:p>
    <w:p>
      <w:pPr>
        <w:ind w:right="7780" w:firstLine="8"/>
        <w:spacing w:after="0" w:line="332" w:lineRule="auto"/>
        <w:tabs>
          <w:tab w:leader="none" w:pos="307"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Description of Business</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Corcept Therapeutics Incorporated (the “Company” or “Corcept”) was incorporated in the state of Delaware on May 13, 1998, and its facilities are located in Menlo Park, California. Corcept is a biopharmaceutical company engaged in the development of drugs for the treatment of severe psychiatric and neurological diseases.</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Company’s primary activities since incorporation have been establishing its offices, recruiting personnel, conducting research and development,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performing business and financial planning, raising capital, and overseeing clinical trials. Accordingly, the Company is considered to be in the development stage.</w:t>
      </w:r>
    </w:p>
    <w:p>
      <w:pPr>
        <w:spacing w:after="0" w:line="105" w:lineRule="exact"/>
        <w:rPr>
          <w:sz w:val="20"/>
          <w:szCs w:val="20"/>
          <w:color w:val="auto"/>
        </w:rPr>
      </w:pPr>
    </w:p>
    <w:p>
      <w:pPr>
        <w:ind w:firstLine="456"/>
        <w:spacing w:after="0" w:line="300" w:lineRule="auto"/>
        <w:rPr>
          <w:sz w:val="20"/>
          <w:szCs w:val="20"/>
          <w:color w:val="auto"/>
        </w:rPr>
      </w:pPr>
      <w:r>
        <w:rPr>
          <w:rFonts w:ascii="Arial" w:cs="Arial" w:eastAsia="Arial" w:hAnsi="Arial"/>
          <w:sz w:val="16"/>
          <w:szCs w:val="16"/>
          <w:color w:val="auto"/>
        </w:rPr>
        <w:t>In the course of its development activities, the Company has sustained operating losses and expects such losses to continue for at least the next several years. The Company plans to continue to finance its operations through the sale of its equity and debt securities. The Company’s ability to continue as a going concern is dependent upon successful execution of its financing strategy and, ultimately, upon achieving profitable operations. The Company currently anticipates raising additional equity capital during 2004 to continue operating under its current plans, which include conducting continuing clinical trials of its lead product candidate, CORLUX</w:t>
      </w:r>
      <w:r>
        <w:rPr>
          <w:rFonts w:ascii="Arial" w:cs="Arial" w:eastAsia="Arial" w:hAnsi="Arial"/>
          <w:sz w:val="20"/>
          <w:szCs w:val="20"/>
          <w:color w:val="auto"/>
          <w:vertAlign w:val="superscript"/>
        </w:rPr>
        <w:t>™</w:t>
      </w:r>
      <w:r>
        <w:rPr>
          <w:rFonts w:ascii="Arial" w:cs="Arial" w:eastAsia="Arial" w:hAnsi="Arial"/>
          <w:sz w:val="16"/>
          <w:szCs w:val="16"/>
          <w:color w:val="auto"/>
        </w:rPr>
        <w:t>. If additional capital is not available, the Company will need to reevaluate its operating plans.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materially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Research and development expenses consist of costs incurred for Company-sponsored research and development activities. These costs include direct expenses (including nonrefundable payments to third parties) and research-related overhead expenses, as well as the cost of funding clinical trials and the contract development of second-generation compounds, and are expensed as incurred. Costs to acquire technologies and materials that are utilized in research and development and that have no alternative future use are expensed when incurred (see Note 2).</w:t>
      </w:r>
    </w:p>
    <w:p>
      <w:pPr>
        <w:spacing w:after="0" w:line="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 accruals for clinical trials are based upon estimates of work completed under service agreements, milestones achieved, patient enrollment and past experience with similar contracts. The Company’s estimates of work completed and associated cost accruals include its assessments of information received from third-party contract research orgainizations and the overall status of clinical trial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The Company accounts for income taxes under Statement of Financial Accounting Standards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A valuation allowance is recorded when it is more likely than not that the deferred tax asset will not be recovered.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Risks and Concentrations</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Company’s concentration of credit risk consists of cash, cash equivalents, and short-term investments. The Company is exposed to credit risk in the event of default by the financial institutions holding the cash, cash equivalents, and short-term investments to the extent of the amount recorded on the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 xml:space="preserve">The Company has adopted SFAS No. 131, </w:t>
      </w:r>
      <w:r>
        <w:rPr>
          <w:rFonts w:ascii="Arial" w:cs="Arial" w:eastAsia="Arial" w:hAnsi="Arial"/>
          <w:sz w:val="16"/>
          <w:szCs w:val="16"/>
          <w:i w:val="1"/>
          <w:iCs w:val="1"/>
          <w:color w:val="auto"/>
        </w:rPr>
        <w:t>Disclosure About Segments of an Enterprise and Related Information</w:t>
      </w:r>
      <w:r>
        <w:rPr>
          <w:rFonts w:ascii="Arial" w:cs="Arial" w:eastAsia="Arial" w:hAnsi="Arial"/>
          <w:sz w:val="16"/>
          <w:szCs w:val="16"/>
          <w:color w:val="auto"/>
        </w:rPr>
        <w:t>, which requires companies to report selected information about operating segments, as well as enterprisewide disclosures about products, services, geographical areas, and major customers. Operating segments are determined based on the way management organizes its business for making operating decisions and assessing performance. The Company has only one operating segment, the development of pharmaceutical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invests its excess cash in bank deposits, money market accounts, corporate debt securities, and U.S. government obligations. The Company considers all highly liquid investments purchased with maturities of three months or less from the date of purchase to be cash equivalents. Cash equivalents are carried at fair value, which approximates cost, and primarily consist of money market funds maintained at major U.S. financial institutions.</w:t>
      </w:r>
    </w:p>
    <w:p>
      <w:pPr>
        <w:spacing w:after="0" w:line="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short-term investments, which primarily represent marketable debt securities, have been classified as “available-for-sale.” Purchased premiums or discounts on debt securities are amortized to interest income through the stated maturities of the debt securities. The difference between amortized cost and fair values of the debt securities are recorded as a component of accumulated other comprehensive income. Management determines the appropriate classification of its investments in debt securities at the time of purchase and evaluates such designation as of each balance sheet date. Unrealized gains and losses are included in accumulated other comprehensive loss and reported as a separate component of stockholders’ equity. Realized gains and losses and declines in value judged to be other-than-temporary, if any, on available-for-sale securities are included in other expenses. The cost of securities sold is based on the specific identification method. Interest earned on short-term investments is included in interest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depreciated using the straight-line method over the estimated useful lives of the assets, ranging from three to five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 xml:space="preserve">The Company accounts for stock-based compensation using the intrinsic value method prescribed in Accounting Principles Board Opinion No. 25, </w:t>
      </w:r>
      <w:r>
        <w:rPr>
          <w:rFonts w:ascii="Arial" w:cs="Arial" w:eastAsia="Arial" w:hAnsi="Arial"/>
          <w:sz w:val="16"/>
          <w:szCs w:val="16"/>
          <w:i w:val="1"/>
          <w:iCs w:val="1"/>
          <w:color w:val="auto"/>
        </w:rPr>
        <w:t xml:space="preserve">Accounting for Stock Issued to Employees </w:t>
      </w:r>
      <w:r>
        <w:rPr>
          <w:rFonts w:ascii="Arial" w:cs="Arial" w:eastAsia="Arial" w:hAnsi="Arial"/>
          <w:sz w:val="16"/>
          <w:szCs w:val="16"/>
          <w:color w:val="auto"/>
        </w:rPr>
        <w:t>(“APB 25”), and has adopted the disclosure-only alternative of SFAS No.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(“SFAS 123”), as amended by SFAS No. 148,</w:t>
      </w:r>
      <w:r>
        <w:rPr>
          <w:rFonts w:ascii="Arial" w:cs="Arial" w:eastAsia="Arial" w:hAnsi="Arial"/>
          <w:sz w:val="16"/>
          <w:szCs w:val="16"/>
          <w:i w:val="1"/>
          <w:iCs w:val="1"/>
          <w:color w:val="auto"/>
        </w:rPr>
        <w:t xml:space="preserve"> Accounting for Stock-Based Compensation – Transition and Disclosure </w:t>
      </w:r>
      <w:r>
        <w:rPr>
          <w:rFonts w:ascii="Arial" w:cs="Arial" w:eastAsia="Arial" w:hAnsi="Arial"/>
          <w:sz w:val="16"/>
          <w:szCs w:val="16"/>
          <w:color w:val="auto"/>
        </w:rPr>
        <w:t>(“SFAS 148”).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to nonemployees are accounted for in accordance with Emerging Issues Task Force Issue No. 96-18, </w:t>
      </w:r>
      <w:r>
        <w:rPr>
          <w:rFonts w:ascii="Arial" w:cs="Arial" w:eastAsia="Arial" w:hAnsi="Arial"/>
          <w:sz w:val="16"/>
          <w:szCs w:val="16"/>
          <w:i w:val="1"/>
          <w:iCs w:val="1"/>
          <w:color w:val="auto"/>
        </w:rPr>
        <w:t>Accounting for Equity Instruments That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Are Issued to Other Than Employees for Acquiring or in Conjunction with Selling, Goods or Services </w:t>
      </w:r>
      <w:r>
        <w:rPr>
          <w:rFonts w:ascii="Arial" w:cs="Arial" w:eastAsia="Arial" w:hAnsi="Arial"/>
          <w:sz w:val="18"/>
          <w:szCs w:val="18"/>
          <w:color w:val="auto"/>
        </w:rPr>
        <w:t>(“EITF 96-18”), and are periodically remeasured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earned.</w:t>
      </w:r>
    </w:p>
    <w:p>
      <w:pPr>
        <w:spacing w:after="0" w:line="3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set forth below regarding pro forma net loss prepared in accordance with SFAS 123 has been determined as if the Company had accounted for employee stock options under the fair value method proscribed by SFAS 123. The resulting effect on net loss pursuant to SFAS 123 is not likely to be representative of the effects in future years, due to subsequent years including additional grants and year of vesting.</w:t>
      </w:r>
    </w:p>
    <w:p>
      <w:pPr>
        <w:spacing w:after="0" w:line="1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estimates the fair value of these options at the date of grant using the minimum value option pricing model with the following weighted-average assumptions for grants in 2001, 2002 and 2003, respectively: risk-free interest rate of 4%, 5.5%, and 4%; expected life of the options of 10 years and a dividend yield of zero. The weighted-average grant date fair value of stock options granted in 2001, 2002 and 2003 was $6.96, $2.31, and $7.39, respectively. The Company’s assumptions used in prior periods are materially consistent with those used in the periods presented.</w:t>
      </w:r>
    </w:p>
    <w:p>
      <w:pPr>
        <w:spacing w:after="0" w:line="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required under SFAS 123 as amended by SFAS 148, the following pro forma net loss presentation reflects the amortization of the fair value of the stock option grants as expense. For purposes of this disclosure, the fair value of the stock options is amortized to expense over the options’ vesting periods using the graded-vesting method.</w:t>
      </w:r>
    </w:p>
    <w:p>
      <w:pPr>
        <w:spacing w:after="0" w:line="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10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(May 13, 1998)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4"/>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loss—as reported</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(7,453,838)</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(18,503,950)</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(9,812,362)</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(37,937,426)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Add back: Amortization of deferred compensation related to employees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1,533,000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4,020,679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1,470,384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7,031,685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Deduct: Stock-based employee compensation expense determined under SFAS 123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(998,034)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(4,376,579)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(1,770,770)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(7,152,646)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loss</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(6,918,872)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(18,859,850)</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(10,112,748)</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(38,058,387)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 reported net loss per share—basic and diluted</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Pro forma net loss per share—basic and diluted</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(2.55)</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(1.17)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-299720</wp:posOffset>
            </wp:positionV>
            <wp:extent cx="47561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-299720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-299720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-299720</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-299720</wp:posOffset>
            </wp:positionV>
            <wp:extent cx="54419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-299720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-299720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-299720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In January 2003, the FASB issued Financial Interpretation number 46, Consolidation of Variable Interest Entities (“FIN 46”). This interpretation requires existing unconsolidated variable interest entities to be consolidated by their primary beneficiaries if the entities do not effectively disperse risks among parties involved. It explains how to identify variable interest entities and how an enterprise assesses its interest in a variable interest entity to decide whether to consolidate that entity. This interpretation, as amended, applies in the first fiscal year or interim period beginning after December 15, 2003, to variable interest entities in which an enterprise holds a variable interest that it acquired before February 1, 2003. Since the Company does not currently have any unconsolidated variable interest entities, the Company does not expect the adoption of FIN 46 to have a material impact on its financial position or results of operations.</w:t>
      </w:r>
    </w:p>
    <w:p>
      <w:pPr>
        <w:spacing w:after="0" w:line="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No. 150 requires that certain financial instruments, which under previous guidance were accounted for as equity, must now be accounted for as liabilities. The financial instruments affected include mandatorily redeemable stock, certain financial instruments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that require or may require the issuer to buy back some of its shares in exchange for cash or other assets and certain obligations that can be settled with shares of stock. SFAS No. 150 is effective for all financial instruments entered into or modified after May 31, 2003 and otherwise is effective at the beginning of the first interim period after June 15, 2003. The adoption of SFAS No. 150 did not have a material impact on the Company’s financial position or results of operations.</w:t>
      </w:r>
    </w:p>
    <w:p>
      <w:pPr>
        <w:spacing w:after="0" w:line="69" w:lineRule="exact"/>
        <w:rPr>
          <w:sz w:val="20"/>
          <w:szCs w:val="20"/>
          <w:color w:val="auto"/>
        </w:rPr>
      </w:pPr>
    </w:p>
    <w:p>
      <w:pPr>
        <w:ind w:right="8200" w:firstLine="8"/>
        <w:spacing w:after="0" w:line="373" w:lineRule="auto"/>
        <w:tabs>
          <w:tab w:leader="none" w:pos="30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Collaborative and License Agreements Stanford License Agreement</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October 1998, the Company entered into an agreement with The Board of Trustees of Leland Stanford Junior University (“Stanford”) in which Stanford granted the Company an exclusive option to acquire an exclusive license for inventions and patents related to “Mifepristone for Psychotic Major Depression” and “Mifepristone and Alzheimer’s Disease” owned by Stanford.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1999, the Company exercised its option to acquire an exclusive license to patents covering the use of glucocorticoid receptors antagonists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treatment of psychotic major depression, early dementia, and cocaine-induced psychosis, as specified in the license agreement. This license agreement expires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upon the expiration of the related patents or upon notification by the Company to Stanford. In exchange for the license, the Company agreed to pay Stanford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$47,000 and immediately issue 30,000 shares of the Company’s common stock to Stanford. The Company is further required to pay Stanford $50,000 per year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nonrefundable royalty payment. The annual royalty payments are creditable against future royalties. The Company is also obligated to pay a $50,000 milestone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filing of the first New Drug Application with the United States Food and Drug Administration (“FDA”) and a $200,000 milestone upon FDA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related drug. The milestone payments are also creditable against future royalties. The Company has expensed the $47,000 payment made up front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$50,000 nonrefundable royalty payments and value of the common stock issued to Stanford as research and development costs.</w:t>
      </w:r>
    </w:p>
    <w:p>
      <w:pPr>
        <w:spacing w:after="0" w:line="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March 2001, the Company entered into another agreement with Stanford in which Stanford granted the Company an exclusive license agreement for invention and patents related to “Glucocorticoid Blocking Agents for Increasing Blood-Brain Permeability” owned by Stanford. This license agreement expires upon the expiration of the related patents or upon notification by the Company to Stanford. In exchange for the license, the Company agreed to pay Stanford $20,000 and immediately issue 1,000 shares of the Company’s common stock. The Company is further required to pay Stanford $10,000 per year as a nonrefundable royalty payment. The annual royalty payments are creditable against future royalties. The Company is also obligated to make a $100,000 milestone payment upon the commencement of Phase III trials associated with this license and a $250,000 milestone payment upon FDA approval of the related drug for this indication, as well as royalties on any future sales that result from the license. The milestone payments are also creditable against future royalties. The Company has expensed the $20,000 payment made up front and the $10,000 nonrefundable royalty payments and the fair value of the common stock issued to Stanford as research and development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Agreement</w:t>
      </w:r>
    </w:p>
    <w:p>
      <w:pPr>
        <w:spacing w:after="0" w:line="8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June 2000, the Company entered into a Memorandum of Understanding with a pharmaceutical manufacturer, ScinoPharm Taiwan, in which the manufacturer agreed to produce CORLUX for the Company. In exchange, the Company agreed to share initial research and development costs related to the manufacturing process, which consisted of the acquisition of starting materials and equipment, as well as personnel costs, to complete the technology transfer, process development, and scale-up studies.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paid the manufacturer approximately $150,000 and $410,000 for these activities and expensed these amounts as incurred in 2001 and 2002, respectively. No such costs were incurred in 2003. Further, the Company has committed to purchase $1,000,000 of CORLUX per year from the manufacturer following the receipt of marketing approval and initiation of sales of CORLUX.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Institute for the Study of Aging Note Payable</w:t>
      </w:r>
    </w:p>
    <w:p>
      <w:pPr>
        <w:spacing w:after="0" w:line="83"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January 2001, the Company issued a convertible note payable to the Institute for the Study of Aging whereby the Company received $462,929 in exchange for conducting specified research related to the treatment of Alzheimer’s disease. The note bears interest at a rate of 4.5% per year and is payable on demand beginning in January 2008, if not earlier converted. The principal and accrued interest is convertible at the election of the holder following the first to occur of the following events: (1) upon an initial public offering, the note converts into common stock at the offering price; (2) upon a merger or acquisition whereby the holders of the Company’s stock do not retain majority voting power, the note converts into preferred stock at the price paid per share in the most recent round of preferred stock financing; or (3) upon approval to market by the FDA of CORLUX for treatment of Alzheimer’s disease, the note converts into preferred stock at the price paid per share in the most recent round of preferred stock financing. The Company may prepay all or any portion of the note at any time without penalty. The interest accrued for this note is included in other accrued liabilities on the balance sheets and interest costs are reported as interest expense.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Argenta Discovery Limited</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2003, the Company entered into a contract research agreement with Argenta Discovery Limited (“Argenta”) in which Argenta agreed to conduct research toward identifying a novel small molecule glucocorticoid receptor antagonist for the treatment of psychotic major depression, Alzheimer’s disease, and other psychiatric and neurological disorders. The project is expected to last at least two years, during which time the Company will make payments to Argenta based upon agreed-upon FTE (full-time equivalent) rates. During 2003, the Company recorded approximately $1.9 million as research and development expense related to this contract.</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Financial Instruments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cash equivalents, and short-term investments as of December 31, 2002 and 2003:</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Unrealized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5"/>
                <w:szCs w:val="15"/>
                <w:color w:val="auto"/>
              </w:rPr>
            </w:pPr>
          </w:p>
        </w:tc>
        <w:tc>
          <w:tcPr>
            <w:tcW w:w="1760" w:type="dxa"/>
            <w:vAlign w:val="bottom"/>
            <w:gridSpan w:val="4"/>
          </w:tcPr>
          <w:p>
            <w:pPr>
              <w:ind w:left="660"/>
              <w:spacing w:after="0"/>
              <w:rPr>
                <w:sz w:val="20"/>
                <w:szCs w:val="20"/>
                <w:color w:val="auto"/>
              </w:rPr>
            </w:pPr>
            <w:r>
              <w:rPr>
                <w:rFonts w:ascii="Arial" w:cs="Arial" w:eastAsia="Arial" w:hAnsi="Arial"/>
                <w:sz w:val="14"/>
                <w:szCs w:val="14"/>
                <w:b w:val="1"/>
                <w:bCs w:val="1"/>
                <w:color w:val="auto"/>
              </w:rPr>
              <w:t>Gain/(Loss)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95"/>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2002</w:t>
            </w:r>
          </w:p>
        </w:tc>
        <w:tc>
          <w:tcPr>
            <w:tcW w:w="22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23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590,238</w:t>
            </w:r>
          </w:p>
        </w:tc>
        <w:tc>
          <w:tcPr>
            <w:tcW w:w="82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Money market funds</w:t>
            </w:r>
          </w:p>
        </w:tc>
        <w:tc>
          <w:tcPr>
            <w:tcW w:w="22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jc w:val="right"/>
              <w:spacing w:after="0" w:line="149" w:lineRule="exact"/>
              <w:rPr>
                <w:sz w:val="20"/>
                <w:szCs w:val="20"/>
                <w:color w:val="auto"/>
              </w:rPr>
            </w:pPr>
            <w:r>
              <w:rPr>
                <w:rFonts w:ascii="Arial" w:cs="Arial" w:eastAsia="Arial" w:hAnsi="Arial"/>
                <w:sz w:val="14"/>
                <w:szCs w:val="14"/>
                <w:color w:val="auto"/>
                <w:w w:val="96"/>
              </w:rPr>
              <w:t>16,810,267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16,810,267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22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3,389,354</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3,389,067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United States government obligations</w:t>
            </w:r>
          </w:p>
        </w:tc>
        <w:tc>
          <w:tcPr>
            <w:tcW w:w="22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spacing w:after="0"/>
              <w:rPr>
                <w:sz w:val="20"/>
                <w:szCs w:val="20"/>
                <w:color w:val="auto"/>
              </w:rPr>
            </w:pPr>
            <w:r>
              <w:rPr>
                <w:rFonts w:ascii="Arial" w:cs="Arial" w:eastAsia="Arial" w:hAnsi="Arial"/>
                <w:sz w:val="14"/>
                <w:szCs w:val="14"/>
                <w:color w:val="auto"/>
              </w:rPr>
              <w:t>753,379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753,600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22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71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23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21,543,238</w:t>
            </w:r>
          </w:p>
        </w:tc>
        <w:tc>
          <w:tcPr>
            <w:tcW w:w="82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21,543,172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Reported as:</w:t>
            </w:r>
          </w:p>
        </w:tc>
        <w:tc>
          <w:tcPr>
            <w:tcW w:w="22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33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710" w:type="dxa"/>
            <w:vAlign w:val="bottom"/>
          </w:tcPr>
          <w:p>
            <w:pPr>
              <w:jc w:val="right"/>
              <w:spacing w:after="0" w:line="149" w:lineRule="exact"/>
              <w:rPr>
                <w:sz w:val="20"/>
                <w:szCs w:val="20"/>
                <w:color w:val="auto"/>
              </w:rPr>
            </w:pPr>
            <w:r>
              <w:rPr>
                <w:rFonts w:ascii="Arial" w:cs="Arial" w:eastAsia="Arial" w:hAnsi="Arial"/>
                <w:sz w:val="14"/>
                <w:szCs w:val="14"/>
                <w:color w:val="auto"/>
                <w:w w:val="96"/>
              </w:rPr>
              <w:t>18,400,992</w:t>
            </w:r>
          </w:p>
        </w:tc>
        <w:tc>
          <w:tcPr>
            <w:tcW w:w="82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18,400,992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investments</w:t>
            </w:r>
          </w:p>
        </w:tc>
        <w:tc>
          <w:tcPr>
            <w:tcW w:w="22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3,142,246</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3,142,180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23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21,543,238</w:t>
            </w:r>
          </w:p>
        </w:tc>
        <w:tc>
          <w:tcPr>
            <w:tcW w:w="82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21,543,172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-715010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-715010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-715010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-715010</wp:posOffset>
            </wp:positionV>
            <wp:extent cx="46736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-715010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-715010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-715010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46736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1760" w:type="dxa"/>
            <w:vAlign w:val="bottom"/>
            <w:gridSpan w:val="4"/>
          </w:tcPr>
          <w:p>
            <w:pPr>
              <w:ind w:left="680"/>
              <w:spacing w:after="0"/>
              <w:rPr>
                <w:sz w:val="20"/>
                <w:szCs w:val="20"/>
                <w:color w:val="auto"/>
              </w:rPr>
            </w:pPr>
            <w:r>
              <w:rPr>
                <w:rFonts w:ascii="Arial" w:cs="Arial" w:eastAsia="Arial" w:hAnsi="Arial"/>
                <w:sz w:val="14"/>
                <w:szCs w:val="14"/>
                <w:b w:val="1"/>
                <w:bCs w:val="1"/>
                <w:color w:val="auto"/>
              </w:rPr>
              <w:t>Gain/(Loss)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95"/>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2003</w:t>
            </w:r>
          </w:p>
        </w:tc>
        <w:tc>
          <w:tcPr>
            <w:tcW w:w="2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6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2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160,442</w:t>
            </w:r>
          </w:p>
        </w:tc>
        <w:tc>
          <w:tcPr>
            <w:tcW w:w="92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Money market funds</w:t>
            </w: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9,912,661</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9,912,661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2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1,003,328</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United States government obligations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501,495</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501,405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11,577,926</w:t>
            </w:r>
          </w:p>
        </w:tc>
        <w:tc>
          <w:tcPr>
            <w:tcW w:w="92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11,577,283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Reported as:</w:t>
            </w:r>
          </w:p>
        </w:tc>
        <w:tc>
          <w:tcPr>
            <w:tcW w:w="2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10,073,103</w:t>
            </w:r>
          </w:p>
        </w:tc>
        <w:tc>
          <w:tcPr>
            <w:tcW w:w="9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10,073,103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investments</w:t>
            </w:r>
          </w:p>
        </w:tc>
        <w:tc>
          <w:tcPr>
            <w:tcW w:w="2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1,504,823</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1,504,180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11,577,926</w:t>
            </w:r>
          </w:p>
        </w:tc>
        <w:tc>
          <w:tcPr>
            <w:tcW w:w="92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11,577,283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-715010</wp:posOffset>
            </wp:positionV>
            <wp:extent cx="51879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-715010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-715010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-715010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-715010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-715010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-715010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short-term investments at December 31, 2003 have remaining contractual maturities of less than two months.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Included in cash and cash equivalents at December 31, 2002 is $429,515 representing the proceeds of the convertible note payable issued to the Institute for the Study of the Aging (see Note 2) that were restricted under the terms of that note to be used for certain Alzheimer’s disease research. These restricted funds were fully utilized during 2003.</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Computer equipment</w:t>
            </w:r>
          </w:p>
        </w:tc>
        <w:tc>
          <w:tcPr>
            <w:tcW w:w="3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46,931</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46,931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7,035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3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(30,884)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(53,435)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23,082</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3556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Depreciation expense amounted to $9,153, $20,138 and $22,551 in 2001, 2002 and 2003, respectively, and $53,435 for the period from inception (May 13, 1998) to December 31, 2003. As of December 31, 2003, the Company had not entered into any capital leases.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Convertible Promissory Notes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December 2000, the Company entered into convertible promissory notes with several investors for a total of $900,000, including $50,000 with a founder (who is also an officer). The notes accrued interest at 8% per year and were to mature on December 31, 2001, if not earlier converted into Series BB convertible preferred stock. In January 2001, the Company issued an additional $150,000 convertible note payable to a founder (who is also an officer). In May 2001, the Company converted the notes and accrued interest of $31,211 into 268,077 shares of Series BB convertible preferred stock at $4.033 per share.</w:t>
      </w:r>
    </w:p>
    <w:p>
      <w:pPr>
        <w:spacing w:after="0" w:line="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Related Party Transactions</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leases its facilities under an operating lease arrangement with a stockholder that is also an affiliate of a person who served as a member of the Company’s board of directors until January 2004. Under this arrangement, the Company leases approximately 3,200 square feet for general corporate purposes in Menlo Park, California. The lease arrangement is currently month-to-month, with a minimum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180 days notice required by either party to terminate the lease. The cost of this lease is approximately $17,000 per month and is recorded in general and administrative expense. Rent expense amounted to approximately $165,018, $198,806, $204,640, and $583,444 for the years ended December 31, 2001, 2002 and 2003, and the period from inception (May 13, 1998) to December 31, 2003, respectively. This stockholder also provides legal services to the Company. Legal expenses incurred with this stockholder were $462,821, $814,320, $99,999, and $1,453,454 for the years ended December 31, 2001, 2002 and 2003, and the period from inception (May 13, 1998) to December 31, 2003, respectively, and were recorded as general and administrative expense in each period.</w:t>
      </w:r>
    </w:p>
    <w:p>
      <w:pPr>
        <w:spacing w:after="0" w:line="96" w:lineRule="exact"/>
        <w:rPr>
          <w:sz w:val="20"/>
          <w:szCs w:val="20"/>
          <w:color w:val="auto"/>
        </w:rPr>
      </w:pPr>
    </w:p>
    <w:p>
      <w:pPr>
        <w:ind w:right="7000" w:firstLine="8"/>
        <w:spacing w:after="0" w:line="332" w:lineRule="auto"/>
        <w:tabs>
          <w:tab w:leader="none" w:pos="30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Equity Convertible Preferred Stock</w:t>
      </w:r>
    </w:p>
    <w:p>
      <w:pPr>
        <w:spacing w:after="0" w:line="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of December 31, 2003, the Company was authorized to issue up to 10,000,000 shares of convertible preferred stock, issuable in series, with the rights and preferences of each designated series to be determined by the Company’s board of directors. The Company has designated convertible preferred stock consisting of Series A, B, BB, and C convertible preferred stock, collectively referred to as “preferred stock.”</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stock at December 31, 2003 is summarized below:</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Per Share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Designated</w:t>
            </w:r>
          </w:p>
        </w:tc>
        <w:tc>
          <w:tcPr>
            <w:tcW w:w="5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and</w:t>
            </w:r>
          </w:p>
        </w:tc>
        <w:tc>
          <w:tcPr>
            <w:tcW w:w="156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Liquidation</w:t>
            </w:r>
          </w:p>
        </w:tc>
        <w:tc>
          <w:tcPr>
            <w:tcW w:w="3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Liquidation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0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Preference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2"/>
              </w:rPr>
              <w:t>Preference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Series A convertible preferred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607,761</w:t>
            </w:r>
          </w:p>
        </w:tc>
        <w:tc>
          <w:tcPr>
            <w:tcW w:w="8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ind w:left="200"/>
              <w:spacing w:after="0" w:line="149" w:lineRule="exact"/>
              <w:rPr>
                <w:sz w:val="20"/>
                <w:szCs w:val="20"/>
                <w:color w:val="auto"/>
              </w:rPr>
            </w:pPr>
            <w:r>
              <w:rPr>
                <w:rFonts w:ascii="Arial" w:cs="Arial" w:eastAsia="Arial" w:hAnsi="Arial"/>
                <w:sz w:val="14"/>
                <w:szCs w:val="14"/>
                <w:color w:val="auto"/>
              </w:rPr>
              <w:t>Series B convertible preferred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415,000</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411,533</w:t>
            </w:r>
          </w:p>
        </w:tc>
        <w:tc>
          <w:tcPr>
            <w:tcW w:w="8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Series BB convertible preferred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268,077</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268,077</w:t>
            </w:r>
          </w:p>
        </w:tc>
        <w:tc>
          <w:tcPr>
            <w:tcW w:w="8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4.033</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1,081,155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40" w:type="dxa"/>
            <w:vAlign w:val="bottom"/>
          </w:tcPr>
          <w:p>
            <w:pPr>
              <w:ind w:left="200"/>
              <w:spacing w:after="0"/>
              <w:rPr>
                <w:sz w:val="20"/>
                <w:szCs w:val="20"/>
                <w:color w:val="auto"/>
              </w:rPr>
            </w:pPr>
            <w:r>
              <w:rPr>
                <w:rFonts w:ascii="Arial" w:cs="Arial" w:eastAsia="Arial" w:hAnsi="Arial"/>
                <w:sz w:val="14"/>
                <w:szCs w:val="14"/>
                <w:color w:val="auto"/>
              </w:rPr>
              <w:t>Series C convertible preferred stock</w:t>
            </w:r>
          </w:p>
        </w:tc>
        <w:tc>
          <w:tcPr>
            <w:tcW w:w="720" w:type="dxa"/>
            <w:vAlign w:val="bottom"/>
          </w:tcPr>
          <w:p>
            <w:pPr>
              <w:jc w:val="right"/>
              <w:spacing w:after="0"/>
              <w:rPr>
                <w:sz w:val="20"/>
                <w:szCs w:val="20"/>
                <w:color w:val="auto"/>
              </w:rPr>
            </w:pPr>
            <w:r>
              <w:rPr>
                <w:rFonts w:ascii="Arial" w:cs="Arial" w:eastAsia="Arial" w:hAnsi="Arial"/>
                <w:sz w:val="14"/>
                <w:szCs w:val="14"/>
                <w:color w:val="auto"/>
              </w:rPr>
              <w:t>5,506,557</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5,481,187</w:t>
            </w: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7.066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38,730,067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4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6,799,634</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6,768,558</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41,702,203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Series A, B, BB, and C convertible preferred stockholders are entitled to receive noncumulative dividends at the annual rate of $0.0648, $0.18, $0.24198, and $0.42396 per share, respectively, when and if declared by the board of directors and payable in preference to common stock dividends. As of December 31, 2003, no dividends had been declared or paid by the Company.</w:t>
      </w:r>
    </w:p>
    <w:p>
      <w:pPr>
        <w:spacing w:after="0" w:line="4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each share of preferred stock are entitled to one vote for each share of common stock into which such share is convertible. Each share of preferred stock is convertible into common stock at the option of the holder. Each share of Series A and B convertible preferred stock converts into three shares of common stock, and each share of Series BB and C convertible preferred stock converts into one share of common stock. Conversion is automatic upon the earlier of (1) an underwritten public offering of the Company’s common stock with aggregate proceeds in excess of $35,000,000 and a per share price of not less than $10.00, or (2) upon the written consent of the holders of a majority of the outstanding shares of preferred stock. The preferred stock conversion rate is subject to adjustment in the event of any stock combination, stock split, stock dividend, recapitalization, or other similar transaction.</w:t>
      </w:r>
    </w:p>
    <w:p>
      <w:pPr>
        <w:spacing w:after="0" w:line="2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holder of preferred stock shall be entitled to receive, prior and in preference to any distribution of the assets or surplus funds of the Company to the holders of common stock, the amount of the liquidation preference of each share plus an amount equal to all declared but unpaid dividends on such shares. If, upon the occurrence of a liquidation event, the assets and funds available to be distributed among preferred stockholders are insufficient to permit payment of the full preferential amount, then the assets and funds of the Company will be distributed ratably based on the total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preferential amount due to each preferred stockholder. After full payment has been made to the preferred stockholders, the remaining assets of the Company available for distribution will be distributed ratably among the common stockholders. The definition of a liquidation event includes a change in control. As the liquidation event is outside of the control of the Company, all shares of convertible preferred stock have been presented outside of permanent equity in accordance with EITF Topic D-98, “Classification and Measurement of Redeemable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December 31, 2002 and 2003, the Company was authorized to issue 30,000,000 shares of common stock. Holders of common stock are entitled to one vote per share on all matters to be voted upon by the stockholders of the Company.</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June 1999, the Company issued 1,770,939 shares of common stock at fair value to a director for cash proceeds of $64,934. The Company has the right to repurchase a portion of the common stock shares upon termination of services at the original exercise price. The Company’s right of repurchase lapses with respect to 20% of the total number of shares of common stock on the first anniversary of the date of the original agreement, with the remaining repurchase rights lapsing ratably at the end of each month over the remaining four years.</w:t>
      </w:r>
    </w:p>
    <w:p>
      <w:pPr>
        <w:spacing w:after="0" w:line="4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2001, the Company issued 50,000 shares of common stock at a price below fair value to a scientific advisor for cash proceeds of $5,000. The Company has the right to repurchase a portion of the common stock shares upon termination of services at the original exercise price. The Company recorded research and development expense of $45,000, $68,000, $68,000, and $181,000 in the years ended December 31, 2001, 2002, 2003, and the period from inception (May 13, 1998) to December 31, 2003, respectively, for the difference between the fair value and price paid by the advisor related to the portion of the shares for which the Company’s right of repurchase lapsed in each period.</w:t>
      </w:r>
    </w:p>
    <w:p>
      <w:pPr>
        <w:spacing w:after="0" w:line="4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At December 31, 2002 and 2003, 2,137,086 and 684,235 common stock shares issued were subject to repurchase, respectively, with repurchase prices ranging from $0.0001 to $0.75 per share at December 31, 2002 and 2003. The Company’s repurchase rights with respect to certain shares automatically lapse upon completion of a public offering of the Company’s common stock.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common stock reserved for future issuance are as follows: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00"/>
              <w:spacing w:after="0" w:line="149" w:lineRule="exact"/>
              <w:rPr>
                <w:sz w:val="20"/>
                <w:szCs w:val="20"/>
                <w:color w:val="auto"/>
              </w:rPr>
            </w:pPr>
            <w:r>
              <w:rPr>
                <w:rFonts w:ascii="Arial" w:cs="Arial" w:eastAsia="Arial" w:hAnsi="Arial"/>
                <w:sz w:val="14"/>
                <w:szCs w:val="14"/>
                <w:color w:val="auto"/>
              </w:rPr>
              <w:t>Conversion of convertible preferred stock</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8,807,146</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8,807,146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outstanding options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ind w:left="200"/>
              <w:spacing w:after="0"/>
              <w:rPr>
                <w:sz w:val="20"/>
                <w:szCs w:val="20"/>
                <w:color w:val="auto"/>
              </w:rPr>
            </w:pPr>
            <w:r>
              <w:rPr>
                <w:rFonts w:ascii="Arial" w:cs="Arial" w:eastAsia="Arial" w:hAnsi="Arial"/>
                <w:sz w:val="14"/>
                <w:szCs w:val="14"/>
                <w:color w:val="auto"/>
              </w:rPr>
              <w:t>Shares available for grant under stock option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1,145,831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938,964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10,216,977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10,216,610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October 2000, the Company adopted the 2000 Stock Option Plan (the “2000 Plan”), which provides for the issuance of option grants for up to 1,000,000 shares of the Company’s common stock to eligible participants. Under the 2000 Plan, options to purchase common stock may be granted at no less than 100% of fair value on the date of grant for incentive stock options and 85% of fair value on the date of grant for nonqualified options, as determined by the board of directors. Options become exercisable at such times and under such conditions as determined by the board of directors. The 2000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provides for grants of immediately exercisable options; however, the Company has the right to repurchase any common stock upon termination of employment or services at the original exercise price where the right of repurchase has not lapsed. Shares repurchased by the Company return to the option pool. Options generally vest over a four- or five-year period and have a maximum term of ten years. Incentive stock options generally vest at a rate of 20% at the end of the first year of vesting, with the remaining balance vesting ratably on a monthly basis over the remaining four years.</w:t>
      </w:r>
    </w:p>
    <w:p>
      <w:pPr>
        <w:spacing w:after="0" w:line="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May 2001, the Company increased the number of shares of common stock authorized for issuance under the 2000 Plan by 1,000,000 shares, to a total of 2,000,000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all stock plan activity:</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Stock Options</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4"/>
          </w:tcPr>
          <w:p>
            <w:pPr>
              <w:ind w:left="7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8"/>
              </w:rPr>
              <w:t>Shares</w:t>
            </w:r>
          </w:p>
        </w:tc>
        <w:tc>
          <w:tcPr>
            <w:tcW w:w="14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76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Available</w:t>
            </w: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authorized upon 2000 Plan adoption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7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Shares granted</w:t>
            </w: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$0.10</w:t>
            </w:r>
          </w:p>
        </w:tc>
        <w:tc>
          <w:tcPr>
            <w:tcW w:w="8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exercised</w:t>
            </w:r>
          </w:p>
        </w:tc>
        <w:tc>
          <w:tcPr>
            <w:tcW w:w="13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940,000</w:t>
            </w: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$0.10</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Additional shares authorized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740" w:type="dxa"/>
            <w:vAlign w:val="bottom"/>
          </w:tcPr>
          <w:p>
            <w:pPr>
              <w:spacing w:after="0"/>
              <w:rPr>
                <w:sz w:val="12"/>
                <w:szCs w:val="12"/>
                <w:color w:val="auto"/>
              </w:rPr>
            </w:pP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granted</w:t>
            </w:r>
          </w:p>
        </w:tc>
        <w:tc>
          <w:tcPr>
            <w:tcW w:w="13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(661,500)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661,500</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$0.10 - 0.75</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gridSpan w:val="2"/>
          </w:tcPr>
          <w:p>
            <w:pPr>
              <w:ind w:left="200"/>
              <w:spacing w:after="0"/>
              <w:rPr>
                <w:sz w:val="20"/>
                <w:szCs w:val="20"/>
                <w:color w:val="auto"/>
              </w:rPr>
            </w:pPr>
            <w:r>
              <w:rPr>
                <w:rFonts w:ascii="Arial" w:cs="Arial" w:eastAsia="Arial" w:hAnsi="Arial"/>
                <w:sz w:val="14"/>
                <w:szCs w:val="14"/>
                <w:color w:val="auto"/>
              </w:rPr>
              <w:t>Shares exercised</w:t>
            </w:r>
          </w:p>
        </w:tc>
        <w:tc>
          <w:tcPr>
            <w:tcW w:w="134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(587,835)</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$0.10 - 0.75</w:t>
            </w:r>
          </w:p>
        </w:tc>
        <w:tc>
          <w:tcPr>
            <w:tcW w:w="8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1,278,500</w:t>
            </w: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133,665</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$0.10 - 0.75</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Shares granted</w:t>
            </w: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(152,500)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152,500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$7.00</w:t>
            </w:r>
          </w:p>
        </w:tc>
        <w:tc>
          <w:tcPr>
            <w:tcW w:w="8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exercised</w:t>
            </w:r>
          </w:p>
        </w:tc>
        <w:tc>
          <w:tcPr>
            <w:tcW w:w="13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(2,334)</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$0.10</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gridSpan w:val="2"/>
          </w:tcPr>
          <w:p>
            <w:pPr>
              <w:ind w:left="200"/>
              <w:spacing w:after="0"/>
              <w:rPr>
                <w:sz w:val="20"/>
                <w:szCs w:val="20"/>
                <w:color w:val="auto"/>
              </w:rPr>
            </w:pPr>
            <w:r>
              <w:rPr>
                <w:rFonts w:ascii="Arial" w:cs="Arial" w:eastAsia="Arial" w:hAnsi="Arial"/>
                <w:sz w:val="14"/>
                <w:szCs w:val="14"/>
                <w:color w:val="auto"/>
              </w:rPr>
              <w:t>Shares forfeited</w:t>
            </w:r>
          </w:p>
        </w:tc>
        <w:tc>
          <w:tcPr>
            <w:tcW w:w="600" w:type="dxa"/>
            <w:vAlign w:val="bottom"/>
          </w:tcPr>
          <w:p>
            <w:pPr>
              <w:jc w:val="right"/>
              <w:spacing w:after="0"/>
              <w:rPr>
                <w:sz w:val="20"/>
                <w:szCs w:val="20"/>
                <w:color w:val="auto"/>
              </w:rPr>
            </w:pPr>
            <w:r>
              <w:rPr>
                <w:rFonts w:ascii="Arial" w:cs="Arial" w:eastAsia="Arial" w:hAnsi="Arial"/>
                <w:sz w:val="14"/>
                <w:szCs w:val="14"/>
                <w:color w:val="auto"/>
              </w:rPr>
              <w:t>19,831</w:t>
            </w:r>
          </w:p>
        </w:tc>
        <w:tc>
          <w:tcPr>
            <w:tcW w:w="74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(19,831)</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$0.10 - 0.75</w:t>
            </w:r>
          </w:p>
        </w:tc>
        <w:tc>
          <w:tcPr>
            <w:tcW w:w="8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1,145,831</w:t>
            </w: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264,000</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$0.10 - 7.00</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Shares granted</w:t>
            </w: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(207,500)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207,500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$7.00</w:t>
            </w:r>
          </w:p>
        </w:tc>
        <w:tc>
          <w:tcPr>
            <w:tcW w:w="8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exercised</w:t>
            </w:r>
          </w:p>
        </w:tc>
        <w:tc>
          <w:tcPr>
            <w:tcW w:w="134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(367)</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$0.75</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gridSpan w:val="2"/>
          </w:tcPr>
          <w:p>
            <w:pPr>
              <w:ind w:left="200"/>
              <w:spacing w:after="0"/>
              <w:rPr>
                <w:sz w:val="20"/>
                <w:szCs w:val="20"/>
                <w:color w:val="auto"/>
              </w:rPr>
            </w:pPr>
            <w:r>
              <w:rPr>
                <w:rFonts w:ascii="Arial" w:cs="Arial" w:eastAsia="Arial" w:hAnsi="Arial"/>
                <w:sz w:val="14"/>
                <w:szCs w:val="14"/>
                <w:color w:val="auto"/>
              </w:rPr>
              <w:t>Shares forfeited</w:t>
            </w:r>
          </w:p>
        </w:tc>
        <w:tc>
          <w:tcPr>
            <w:tcW w:w="600" w:type="dxa"/>
            <w:vAlign w:val="bottom"/>
          </w:tcPr>
          <w:p>
            <w:pPr>
              <w:jc w:val="right"/>
              <w:spacing w:after="0"/>
              <w:rPr>
                <w:sz w:val="20"/>
                <w:szCs w:val="20"/>
                <w:color w:val="auto"/>
              </w:rPr>
            </w:pPr>
            <w:r>
              <w:rPr>
                <w:rFonts w:ascii="Arial" w:cs="Arial" w:eastAsia="Arial" w:hAnsi="Arial"/>
                <w:sz w:val="14"/>
                <w:szCs w:val="14"/>
                <w:color w:val="auto"/>
              </w:rPr>
              <w:t>633</w:t>
            </w:r>
          </w:p>
        </w:tc>
        <w:tc>
          <w:tcPr>
            <w:tcW w:w="74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(633)</w:t>
            </w:r>
          </w:p>
        </w:tc>
        <w:tc>
          <w:tcPr>
            <w:tcW w:w="660" w:type="dxa"/>
            <w:vAlign w:val="bottom"/>
          </w:tcPr>
          <w:p>
            <w:pPr>
              <w:jc w:val="center"/>
              <w:spacing w:after="0"/>
              <w:rPr>
                <w:sz w:val="20"/>
                <w:szCs w:val="20"/>
                <w:color w:val="auto"/>
              </w:rPr>
            </w:pPr>
            <w:r>
              <w:rPr>
                <w:rFonts w:ascii="Arial" w:cs="Arial" w:eastAsia="Arial" w:hAnsi="Arial"/>
                <w:sz w:val="14"/>
                <w:szCs w:val="14"/>
                <w:color w:val="auto"/>
                <w:w w:val="85"/>
              </w:rPr>
              <w:t>$0.75</w:t>
            </w:r>
          </w:p>
        </w:tc>
        <w:tc>
          <w:tcPr>
            <w:tcW w:w="8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938,964</w:t>
            </w: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470,500</w:t>
            </w: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$0.10 - 7.00</w:t>
            </w:r>
          </w:p>
        </w:tc>
        <w:tc>
          <w:tcPr>
            <w:tcW w:w="84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in 2002, the Company issued 60,000 shares of common stock at $0.0003 per share upon exercise of stock options granted outside of the 2000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7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Stock options outstanding at December 31, 2003 have a weighted-average remaining contractual life of 8.7 years. As of December 31, 2003, options to purchase 109,324 shares were vested and exercisable at a weighted-average exercise price of $3.13 per share.</w:t>
      </w:r>
    </w:p>
    <w:p>
      <w:pPr>
        <w:spacing w:after="0" w:line="3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discussed in Note 1, the Company applies APB 25 and related interpretations in accounting for the 2000 Plan. For the period from inception (May 13, 1998) to December 31, 2003, the Company recorded $9,015,891 in deferred compensation for employee stock options to purchase common stock granted at exercise prices deemed to be below the fair value of common stock. Compensation expense of $1,533,000, $3,970,567, $86,399 and $5,597,588 was recognized for employee options using the graded-vesting method during the years ended December 31, 2001, 2002 and 2003, and for the period from inception (May 13, 1998) to December 31, 2003, respectively, net of reversals. In 2002, the Company reversed $239,722 from deferred compensation related to an employee who was terminated during 2002, as the terminated employee had not vested in the underlying shares. Additionally,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difference between the expense recorded under the graded-vesting method and the expense that would have been recorded based upon the vesting of the related option of $50,112 was reversed in 2002 upon termination of the employee. In 2003, the Company reversed $1,588,518 from deferred compensation related to outstanding options forfeited by employees and a director who were terminated or reduced their level of service to the Company during 2003, as the terminated employees and director had not vested in the underlying shares. Further, the difference between the expense recorded under the graded-vesting method and the expense that would have been recorded based upon the vesting of the related option of $1,383,985 was reversed in 2003 upon these events.</w:t>
      </w:r>
    </w:p>
    <w:p>
      <w:pPr>
        <w:spacing w:after="0" w:line="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amortizes the deferred stock-based compensation of employee options to compensation expense based on the graded-vesting method over the vesting periods of the applicable stock options, generally five years. The graded-vesting method provides for vesting of portions of the overall awards at interim dates and results in greater vesting in earlier years than the straight-line method. As of December 31, 2003, the Company expects to record stock-based compensation expense of approximately $1,131,000, $563,000, $206,000, $66,000, and $19,000 in the years ending December 31, 2004, 2005, 2006, 2007, and 2008, respectively, related to employee options.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Notes Receivable</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2001, the Company recorded notes receivable from stockholders in the aggregate amount of $438,165 in connection with the exercise of 585,000 shares of common stock options issued under the 2000 Plan. The notes are secured by the related shares of common stock and are full recourse notes, with interest compounded annually at the rate of 6.5% per year. The notes mature ten years from the date of issuance.</w:t>
      </w:r>
    </w:p>
    <w:p>
      <w:pPr>
        <w:spacing w:after="0" w:line="4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One of the employees who terminated in 2003 and the director who reduced their level of service to the Company in 2003 originally purchased common stock through the exercise of stock options and the execution of stockholder notes receivable as described in the preceding paragraph. The Company repurchased 150,000 unvested shares held by the employee in accordance with the terms of the related share purchase agreement. Upon termination, the outstanding note receivable of $37,300 related to the vested portion of the stock held by the employee was repaid in full. The Company repurchased 56,243 unvested shares held by the director in accordance with the terms of the related share purchase agreement, and the remaining vested shares held by the director remain subject to the note receivable.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to Consultants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2003, the Company had granted options to purchase 355,500 shares of common stock to consultants, 300,000 of which were exercised, none of which were subject to repurchase, and 27,843 of which were unvested. These options were granted in exchange for consulting services to be rendered and vest over periods of three to five years. For the period from inception (May 13, 1998) to December 31, 2003, the Company recorded $853,159 in deferred compensation for options to consultants, based upon the fair value of the option. The Company recorded charges to operations for stock options granted to consultants using the straight-line vesting method of approximately $316,000, $63,000, $89,000, and $558,000 for the years ended December 31, 2001, 2002 and 2003, and the period from inception (May 13, 1998) to December 31, 2003, respectively.</w:t>
      </w:r>
    </w:p>
    <w:p>
      <w:pPr>
        <w:spacing w:after="0" w:line="2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unvested shares held by consultants have been and will be revalued using the Company’s estimate of fair value at each balance sheet date pursuant to EITF 96-18.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Net Loss Per Share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follows the provisions of Statement of Financial Accounting Standards No. 128, “Earnings Per Share.” Basic and diluted net loss per share is computed by dividing the net loss by the weighted-average number of common shares outstanding during the period less outstanding shares subject to repurchase. Outstanding shares subject to repurchase are not included in the computation of basic net loss per share until the Company’s time-based repurchase rights have lapsed.</w:t>
      </w:r>
    </w:p>
    <w:p>
      <w:pPr>
        <w:spacing w:after="0" w:line="4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 forma loss per share gives effect to (i) the effect of the automatic conversion of all outstanding shares of preferred stock into shares of common stock and (ii) the accelerated vesting of certain outstanding shares of common stock subject to the Company’s right of repurchase, both in connection with the proposed initial public offering.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b w:val="1"/>
                <w:bCs w:val="1"/>
                <w:color w:val="auto"/>
                <w:w w:val="7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(In thousands, except per</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share amounts)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applicable to common stockholders (numerator)</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(7,454)</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1"/>
              </w:rPr>
              <w:t>(18,504)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(9,812)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used in computing historical basic and diluted net loss per share applicable to common stockholders (denominator)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200"/>
              <w:spacing w:after="0" w:line="149" w:lineRule="exact"/>
              <w:rPr>
                <w:sz w:val="20"/>
                <w:szCs w:val="20"/>
                <w:color w:val="auto"/>
              </w:rPr>
            </w:pPr>
            <w:r>
              <w:rPr>
                <w:rFonts w:ascii="Arial" w:cs="Arial" w:eastAsia="Arial" w:hAnsi="Arial"/>
                <w:sz w:val="14"/>
                <w:szCs w:val="14"/>
                <w:color w:val="auto"/>
              </w:rPr>
              <w:t>Weighted-average common shares outstanding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8,915</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9,529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9,335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weighted-average shares subject to repurchase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(2,934)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(2,137)</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 for basic and diluted net loss per share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5,981</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line="149" w:lineRule="exact"/>
              <w:rPr>
                <w:sz w:val="20"/>
                <w:szCs w:val="20"/>
                <w:color w:val="auto"/>
              </w:rPr>
            </w:pPr>
            <w:r>
              <w:rPr>
                <w:rFonts w:ascii="Arial" w:cs="Arial" w:eastAsia="Arial" w:hAnsi="Arial"/>
                <w:sz w:val="14"/>
                <w:szCs w:val="14"/>
                <w:color w:val="auto"/>
              </w:rPr>
              <w:t>Weighted-average shares of common stock issued upon conversion of preferred stock (pro forma)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4,755</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7,185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Acceleration of repurchase rights upon initial public offering (pro forma)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 for pro forma basic and diluted net loss per share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12,476</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15,597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17,758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Historical basic and diluted net loss per share applicable to common stockholders</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Arial" w:cs="Arial" w:eastAsia="Arial" w:hAnsi="Arial"/>
                <w:sz w:val="14"/>
                <w:szCs w:val="14"/>
                <w:color w:val="auto"/>
              </w:rPr>
              <w:t>Pro forma basic and diluted net loss per share applicable to common stockholders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-1414145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-1414145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-1414145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-1414145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-1414145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-1414145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-1414145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-1414145</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-1414145</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-299720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-299720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-299720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-299720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-299720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-299720</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-299720</wp:posOffset>
            </wp:positionV>
            <wp:extent cx="33845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1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has excluded the impact of all convertible preferred stock, stock options and shares of common stock subject to repurchase from the calculation of historical diluted net loss per common share because all such securities are antidilutive for all periods presented. The total number of shares excluded from the calculations of historical diluted net loss per share was 9,021,344, 10,188,519 and 9,661,881 for the years ended December 31, 2001, 2002 and 2003, respectively.</w:t>
      </w:r>
    </w:p>
    <w:p>
      <w:pPr>
        <w:spacing w:after="0" w:line="6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Accrued Liabilities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2002 and 2003 other accrued liabilities consisted of the following:</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9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30" w:type="dxa"/>
            <w:vAlign w:val="bottom"/>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3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37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107,400</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253,285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Accrued legal fees</w:t>
            </w:r>
          </w:p>
        </w:tc>
        <w:tc>
          <w:tcPr>
            <w:tcW w:w="36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41,269</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71,767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6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32,875</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32,766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3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37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181,544</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357,818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right="420" w:firstLine="456"/>
        <w:spacing w:after="0" w:line="32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December</w:t>
            </w:r>
          </w:p>
        </w:tc>
        <w:tc>
          <w:tcPr>
            <w:tcW w:w="128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4"/>
                <w:szCs w:val="14"/>
                <w:color w:val="auto"/>
              </w:rPr>
              <w:t>Federal and state net operating losses</w:t>
            </w:r>
          </w:p>
        </w:tc>
        <w:tc>
          <w:tcPr>
            <w:tcW w:w="2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3,778,434</w:t>
            </w:r>
          </w:p>
        </w:tc>
        <w:tc>
          <w:tcPr>
            <w:tcW w:w="42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5,405,561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credits</w:t>
            </w:r>
          </w:p>
        </w:tc>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288,824</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200"/>
              <w:spacing w:after="0" w:line="149" w:lineRule="exact"/>
              <w:rPr>
                <w:sz w:val="20"/>
                <w:szCs w:val="20"/>
                <w:color w:val="auto"/>
              </w:rPr>
            </w:pPr>
            <w:r>
              <w:rPr>
                <w:rFonts w:ascii="Arial" w:cs="Arial" w:eastAsia="Arial" w:hAnsi="Arial"/>
                <w:sz w:val="14"/>
                <w:szCs w:val="14"/>
                <w:color w:val="auto"/>
              </w:rPr>
              <w:t>Other, net</w:t>
            </w: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467,734</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299,079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Capitalized research and patent costs</w:t>
            </w:r>
          </w:p>
        </w:tc>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4,184,288</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6,531,169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deferred tax assets</w:t>
            </w:r>
          </w:p>
        </w:tc>
        <w:tc>
          <w:tcPr>
            <w:tcW w:w="2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8,719,280</w:t>
            </w:r>
          </w:p>
        </w:tc>
        <w:tc>
          <w:tcPr>
            <w:tcW w:w="4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12,524,633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Valuation allowance</w:t>
            </w: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w w:val="83"/>
              </w:rPr>
              <w:t>(8,719,280)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(12,524,633)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deferred tax assets</w:t>
            </w:r>
          </w:p>
        </w:tc>
        <w:tc>
          <w:tcPr>
            <w:tcW w:w="2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46736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$3.8 million and $6.0 million for the years ended December 31, 2003 and December 31, 2002, respectively.</w:t>
      </w:r>
    </w:p>
    <w:p>
      <w:pPr>
        <w:spacing w:after="0" w:line="4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December 31, 2003, the Company had net operating loss carryforwards for federal income tax purposes of approximately $13.7 million, which expire in the years 2019 through 2023. The Company also has California net operating loss carryforwards of approximately $12.5 million, which expire in the years</w:t>
      </w:r>
    </w:p>
    <w:p>
      <w:pPr>
        <w:ind w:right="300"/>
        <w:spacing w:after="0" w:line="321" w:lineRule="auto"/>
        <w:rPr>
          <w:sz w:val="20"/>
          <w:szCs w:val="20"/>
          <w:color w:val="auto"/>
        </w:rPr>
      </w:pPr>
      <w:r>
        <w:rPr>
          <w:rFonts w:ascii="Arial" w:cs="Arial" w:eastAsia="Arial" w:hAnsi="Arial"/>
          <w:sz w:val="16"/>
          <w:szCs w:val="16"/>
          <w:color w:val="auto"/>
        </w:rPr>
        <w:t>2009 through 2013. The Company also has federal and California research and development tax credits of approximately $138,000 and $229,000. The federal research credits will expire in the years 2019 through 2023 and the California research credits have no expiration date.</w:t>
      </w:r>
    </w:p>
    <w:p>
      <w:pPr>
        <w:spacing w:after="0" w:line="1"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from the statutory federal income tax rate to the effective rate is as follows: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December</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8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U.S. federal taxes (benefit)</w:t>
            </w: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at statutory rate</w:t>
            </w:r>
          </w:p>
        </w:tc>
        <w:tc>
          <w:tcPr>
            <w:tcW w:w="122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(6,291,343)</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(3,336,203)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00"/>
              <w:spacing w:after="0" w:line="149" w:lineRule="exact"/>
              <w:rPr>
                <w:sz w:val="20"/>
                <w:szCs w:val="20"/>
                <w:color w:val="auto"/>
              </w:rPr>
            </w:pPr>
            <w:r>
              <w:rPr>
                <w:rFonts w:ascii="Arial" w:cs="Arial" w:eastAsia="Arial" w:hAnsi="Arial"/>
                <w:sz w:val="14"/>
                <w:szCs w:val="14"/>
                <w:color w:val="auto"/>
              </w:rPr>
              <w:t>State Tax</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Unutilized (utilized) net operating loss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4,891,195</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00"/>
              <w:spacing w:after="0" w:line="149" w:lineRule="exact"/>
              <w:rPr>
                <w:sz w:val="20"/>
                <w:szCs w:val="20"/>
                <w:color w:val="auto"/>
              </w:rPr>
            </w:pPr>
            <w:r>
              <w:rPr>
                <w:rFonts w:ascii="Arial" w:cs="Arial" w:eastAsia="Arial" w:hAnsi="Arial"/>
                <w:sz w:val="14"/>
                <w:szCs w:val="14"/>
                <w:color w:val="auto"/>
              </w:rPr>
              <w:t>Non-deductible stock based compensation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1,394,542</w:t>
            </w:r>
          </w:p>
        </w:tc>
        <w:tc>
          <w:tcPr>
            <w:tcW w:w="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82,757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5,606</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Registration Statement</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January 15, 2004, the Company’s Board of Directors authorized the filing of a registration statement with the Securities and Exchange Commission in connection with the Company’s proposed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initial public offering. If the offering is completed upon the terms presently contemplated, all outstanding shares of convertible preferred stock will automatically convert into 8,807,146 shares of common stock upon completion of the proposed offering. Upon the closing of this offering, the Company’s authorized capital stock, after giving effect to a proposed amendment and restatement of the Company’s certificate of incorporation, will consist of 140,000,000 shares of common stock, $0.001 par value, and 10,000,000 shares of preferred stock, $0.001 par value.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Grant to Officer</w:t>
      </w:r>
    </w:p>
    <w:p>
      <w:pPr>
        <w:spacing w:after="0" w:line="77"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In February 2004, the Company granted an option to purchase 200,000 shares of its common stock at an exercise price of $7.00 per share in connection with the hiring of a new corporate officer. In connection with this option grant, the Company will record approximately $1.4 million in deferred compensation that will be recognized as expense over the vesting period of the option using the graded-vesting method, including approximately $700,000 in 2004.</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2004 Equity Incentive Plan</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March 2004, the Company’s board of directors and stockholders approved the 2004 Equity Incentive Plan, which will become effective upon the completion of this offering. The company has reserved a total of 3,000,000 shares of its common stock for issuance under the 2004 Equity Incentive Plan, all of which are available for future grant. Upon completion of the offering, no additional options will be issued under the 2000 plan.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Unaudited Pro Forma Information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Unaudited pro forma stockholders’ equity at December 31, 2003 reflects the automatic conversion of outstanding shares of convertible preferred stock that would occur upon completion of the offering as if that conversion had happened as of the balance sheet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PRELIMINARY PROSPECTUS APRIL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309245</wp:posOffset>
            </wp:positionV>
            <wp:extent cx="1989455" cy="11576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98945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0540" w:type="dxa"/>
            <w:vAlign w:val="bottom"/>
          </w:tcPr>
          <w:p>
            <w:pPr>
              <w:jc w:val="center"/>
              <w:ind w:right="755"/>
              <w:spacing w:after="0"/>
              <w:rPr>
                <w:sz w:val="20"/>
                <w:szCs w:val="20"/>
                <w:color w:val="auto"/>
              </w:rPr>
            </w:pPr>
            <w:r>
              <w:rPr>
                <w:rFonts w:ascii="Arial" w:cs="Arial" w:eastAsia="Arial" w:hAnsi="Arial"/>
                <w:sz w:val="22"/>
                <w:szCs w:val="22"/>
                <w:b w:val="1"/>
                <w:bCs w:val="1"/>
                <w:color w:val="auto"/>
                <w:w w:val="98"/>
              </w:rPr>
              <w:t>5,000,000 Shares</w:t>
            </w:r>
          </w:p>
        </w:tc>
      </w:tr>
      <w:tr>
        <w:trPr>
          <w:trHeight w:val="286"/>
        </w:trPr>
        <w:tc>
          <w:tcPr>
            <w:tcW w:w="880" w:type="dxa"/>
            <w:vAlign w:val="bottom"/>
          </w:tcPr>
          <w:p>
            <w:pPr>
              <w:spacing w:after="0"/>
              <w:rPr>
                <w:sz w:val="24"/>
                <w:szCs w:val="24"/>
                <w:color w:val="auto"/>
              </w:rPr>
            </w:pPr>
          </w:p>
        </w:tc>
        <w:tc>
          <w:tcPr>
            <w:tcW w:w="10540" w:type="dxa"/>
            <w:vAlign w:val="bottom"/>
          </w:tcPr>
          <w:p>
            <w:pPr>
              <w:jc w:val="center"/>
              <w:ind w:right="755"/>
              <w:spacing w:after="0"/>
              <w:rPr>
                <w:sz w:val="20"/>
                <w:szCs w:val="20"/>
                <w:color w:val="auto"/>
              </w:rPr>
            </w:pPr>
            <w:r>
              <w:rPr>
                <w:rFonts w:ascii="Arial" w:cs="Arial" w:eastAsia="Arial" w:hAnsi="Arial"/>
                <w:sz w:val="22"/>
                <w:szCs w:val="22"/>
                <w:b w:val="1"/>
                <w:bCs w:val="1"/>
                <w:color w:val="auto"/>
                <w:w w:val="97"/>
              </w:rPr>
              <w:t>Common Stock</w:t>
            </w:r>
          </w:p>
        </w:tc>
      </w:tr>
      <w:tr>
        <w:trPr>
          <w:trHeight w:val="481"/>
        </w:trPr>
        <w:tc>
          <w:tcPr>
            <w:tcW w:w="880" w:type="dxa"/>
            <w:vAlign w:val="bottom"/>
          </w:tcPr>
          <w:p>
            <w:pPr>
              <w:spacing w:after="0"/>
              <w:rPr>
                <w:sz w:val="24"/>
                <w:szCs w:val="24"/>
                <w:color w:val="auto"/>
              </w:rPr>
            </w:pPr>
          </w:p>
        </w:tc>
        <w:tc>
          <w:tcPr>
            <w:tcW w:w="10540" w:type="dxa"/>
            <w:vAlign w:val="bottom"/>
          </w:tcPr>
          <w:p>
            <w:pPr>
              <w:jc w:val="center"/>
              <w:ind w:right="735"/>
              <w:spacing w:after="0"/>
              <w:rPr>
                <w:sz w:val="20"/>
                <w:szCs w:val="20"/>
                <w:color w:val="auto"/>
              </w:rPr>
            </w:pPr>
            <w:r>
              <w:rPr>
                <w:rFonts w:ascii="Arial" w:cs="Arial" w:eastAsia="Arial" w:hAnsi="Arial"/>
                <w:sz w:val="32"/>
                <w:szCs w:val="32"/>
                <w:b w:val="1"/>
                <w:bCs w:val="1"/>
                <w:color w:val="auto"/>
              </w:rPr>
              <w:t>Thomas Weisel Partners LLC</w:t>
            </w:r>
          </w:p>
        </w:tc>
      </w:tr>
      <w:tr>
        <w:trPr>
          <w:trHeight w:val="378"/>
        </w:trPr>
        <w:tc>
          <w:tcPr>
            <w:tcW w:w="880" w:type="dxa"/>
            <w:vAlign w:val="bottom"/>
          </w:tcPr>
          <w:p>
            <w:pPr>
              <w:spacing w:after="0"/>
              <w:rPr>
                <w:sz w:val="24"/>
                <w:szCs w:val="24"/>
                <w:color w:val="auto"/>
              </w:rPr>
            </w:pPr>
          </w:p>
        </w:tc>
        <w:tc>
          <w:tcPr>
            <w:tcW w:w="10540" w:type="dxa"/>
            <w:vAlign w:val="bottom"/>
          </w:tcPr>
          <w:p>
            <w:pPr>
              <w:jc w:val="center"/>
              <w:ind w:right="735"/>
              <w:spacing w:after="0"/>
              <w:rPr>
                <w:sz w:val="20"/>
                <w:szCs w:val="20"/>
                <w:color w:val="auto"/>
              </w:rPr>
            </w:pPr>
            <w:r>
              <w:rPr>
                <w:rFonts w:ascii="Arial" w:cs="Arial" w:eastAsia="Arial" w:hAnsi="Arial"/>
                <w:sz w:val="32"/>
                <w:szCs w:val="32"/>
                <w:b w:val="1"/>
                <w:bCs w:val="1"/>
                <w:color w:val="auto"/>
              </w:rPr>
              <w:t>Piper Jaffray</w:t>
            </w:r>
          </w:p>
        </w:tc>
      </w:tr>
      <w:tr>
        <w:trPr>
          <w:trHeight w:val="396"/>
        </w:trPr>
        <w:tc>
          <w:tcPr>
            <w:tcW w:w="880" w:type="dxa"/>
            <w:vAlign w:val="bottom"/>
          </w:tcPr>
          <w:p>
            <w:pPr>
              <w:spacing w:after="0"/>
              <w:rPr>
                <w:sz w:val="24"/>
                <w:szCs w:val="24"/>
                <w:color w:val="auto"/>
              </w:rPr>
            </w:pPr>
          </w:p>
        </w:tc>
        <w:tc>
          <w:tcPr>
            <w:tcW w:w="10540" w:type="dxa"/>
            <w:vAlign w:val="bottom"/>
          </w:tcPr>
          <w:p>
            <w:pPr>
              <w:jc w:val="center"/>
              <w:ind w:right="755"/>
              <w:spacing w:after="0"/>
              <w:rPr>
                <w:sz w:val="20"/>
                <w:szCs w:val="20"/>
                <w:color w:val="auto"/>
              </w:rPr>
            </w:pPr>
            <w:r>
              <w:rPr>
                <w:rFonts w:ascii="Arial" w:cs="Arial" w:eastAsia="Arial" w:hAnsi="Arial"/>
                <w:sz w:val="32"/>
                <w:szCs w:val="32"/>
                <w:b w:val="1"/>
                <w:bCs w:val="1"/>
                <w:color w:val="auto"/>
              </w:rPr>
              <w:t>Legg Mason Wood Walker</w:t>
            </w:r>
          </w:p>
        </w:tc>
      </w:tr>
      <w:tr>
        <w:trPr>
          <w:trHeight w:val="233"/>
        </w:trPr>
        <w:tc>
          <w:tcPr>
            <w:tcW w:w="880" w:type="dxa"/>
            <w:vAlign w:val="bottom"/>
          </w:tcPr>
          <w:p>
            <w:pPr>
              <w:spacing w:after="0"/>
              <w:rPr>
                <w:sz w:val="20"/>
                <w:szCs w:val="20"/>
                <w:color w:val="auto"/>
              </w:rPr>
            </w:pPr>
          </w:p>
        </w:tc>
        <w:tc>
          <w:tcPr>
            <w:tcW w:w="10540" w:type="dxa"/>
            <w:vAlign w:val="bottom"/>
          </w:tcPr>
          <w:p>
            <w:pPr>
              <w:jc w:val="center"/>
              <w:ind w:right="735"/>
              <w:spacing w:after="0"/>
              <w:rPr>
                <w:sz w:val="20"/>
                <w:szCs w:val="20"/>
                <w:color w:val="auto"/>
              </w:rPr>
            </w:pPr>
            <w:r>
              <w:rPr>
                <w:rFonts w:ascii="Arial" w:cs="Arial" w:eastAsia="Arial" w:hAnsi="Arial"/>
                <w:sz w:val="18"/>
                <w:szCs w:val="18"/>
                <w:b w:val="1"/>
                <w:bCs w:val="1"/>
                <w:color w:val="auto"/>
                <w:w w:val="98"/>
              </w:rPr>
              <w:t>Incorporated</w:t>
            </w:r>
          </w:p>
        </w:tc>
      </w:tr>
      <w:tr>
        <w:trPr>
          <w:trHeight w:val="245"/>
        </w:trPr>
        <w:tc>
          <w:tcPr>
            <w:tcW w:w="88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tcPr>
          <w:p>
            <w:pPr>
              <w:spacing w:after="0"/>
              <w:rPr>
                <w:sz w:val="21"/>
                <w:szCs w:val="21"/>
                <w:color w:val="auto"/>
              </w:rPr>
            </w:pPr>
          </w:p>
        </w:tc>
      </w:tr>
      <w:tr>
        <w:trPr>
          <w:trHeight w:val="307"/>
        </w:trPr>
        <w:tc>
          <w:tcPr>
            <w:tcW w:w="880" w:type="dxa"/>
            <w:vAlign w:val="bottom"/>
          </w:tcPr>
          <w:p>
            <w:pPr>
              <w:spacing w:after="0"/>
              <w:rPr>
                <w:sz w:val="20"/>
                <w:szCs w:val="20"/>
                <w:color w:val="auto"/>
              </w:rPr>
            </w:pPr>
            <w:r>
              <w:rPr>
                <w:rFonts w:ascii="Arial" w:cs="Arial" w:eastAsia="Arial" w:hAnsi="Arial"/>
                <w:sz w:val="18"/>
                <w:szCs w:val="18"/>
                <w:color w:val="auto"/>
              </w:rPr>
              <w:t>Until</w:t>
            </w:r>
          </w:p>
        </w:tc>
        <w:tc>
          <w:tcPr>
            <w:tcW w:w="10540" w:type="dxa"/>
            <w:vAlign w:val="bottom"/>
          </w:tcPr>
          <w:p>
            <w:pPr>
              <w:ind w:left="500"/>
              <w:spacing w:after="0"/>
              <w:rPr>
                <w:sz w:val="20"/>
                <w:szCs w:val="20"/>
                <w:color w:val="auto"/>
              </w:rPr>
            </w:pPr>
            <w:r>
              <w:rPr>
                <w:rFonts w:ascii="Arial" w:cs="Arial" w:eastAsia="Arial" w:hAnsi="Arial"/>
                <w:sz w:val="18"/>
                <w:szCs w:val="18"/>
                <w:color w:val="auto"/>
                <w:w w:val="97"/>
              </w:rPr>
              <w:t>, 2004 (25 days after the commencement of this offering), all dealers that effect transactions in our common stock, whether or not</w:t>
            </w:r>
          </w:p>
        </w:tc>
      </w:tr>
    </w:tbl>
    <w:p>
      <w:pPr>
        <w:ind w:right="460"/>
        <w:spacing w:after="0" w:line="239"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60" w:firstLine="456"/>
        <w:spacing w:after="0" w:line="323" w:lineRule="auto"/>
        <w:rPr>
          <w:sz w:val="20"/>
          <w:szCs w:val="20"/>
          <w:color w:val="auto"/>
        </w:rPr>
      </w:pPr>
      <w:r>
        <w:rPr>
          <w:rFonts w:ascii="Arial" w:cs="Arial" w:eastAsia="Arial" w:hAnsi="Arial"/>
          <w:sz w:val="16"/>
          <w:szCs w:val="16"/>
          <w:color w:val="auto"/>
        </w:rPr>
        <w:t>The following table sets forth all expenses to be paid by Corcept, other than the underwriting discounts and commissions payable by Corcept in connection with the sale of the common stock being registered. All amounts shown are estimates except for the registration fee and the NASD filing fee.</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Amount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be Paid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tcPr>
          <w:p>
            <w:pPr>
              <w:spacing w:after="0" w:line="149" w:lineRule="exact"/>
              <w:rPr>
                <w:sz w:val="20"/>
                <w:szCs w:val="20"/>
                <w:color w:val="auto"/>
              </w:rPr>
            </w:pPr>
            <w:r>
              <w:rPr>
                <w:rFonts w:ascii="Arial" w:cs="Arial" w:eastAsia="Arial" w:hAnsi="Arial"/>
                <w:sz w:val="14"/>
                <w:szCs w:val="14"/>
                <w:color w:val="auto"/>
              </w:rPr>
              <w:t>NASD filing fee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Nasdaq National Market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tcPr>
          <w:p>
            <w:pPr>
              <w:spacing w:after="0" w:line="149" w:lineRule="exact"/>
              <w:rPr>
                <w:sz w:val="20"/>
                <w:szCs w:val="20"/>
                <w:color w:val="auto"/>
              </w:rPr>
            </w:pPr>
            <w:r>
              <w:rPr>
                <w:rFonts w:ascii="Arial" w:cs="Arial" w:eastAsia="Arial" w:hAnsi="Arial"/>
                <w:sz w:val="14"/>
                <w:szCs w:val="14"/>
                <w:color w:val="auto"/>
              </w:rPr>
              <w:t>Blue sky qualification fees and expenses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engraving 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tcPr>
          <w:p>
            <w:pPr>
              <w:spacing w:after="0" w:line="149" w:lineRule="exact"/>
              <w:rPr>
                <w:sz w:val="20"/>
                <w:szCs w:val="20"/>
                <w:color w:val="auto"/>
              </w:rPr>
            </w:pPr>
            <w:r>
              <w:rPr>
                <w:rFonts w:ascii="Arial" w:cs="Arial" w:eastAsia="Arial" w:hAnsi="Arial"/>
                <w:sz w:val="14"/>
                <w:szCs w:val="14"/>
                <w:color w:val="auto"/>
              </w:rPr>
              <w:t>Legal fees and expenses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Accounting fees and 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tcPr>
          <w:p>
            <w:pPr>
              <w:spacing w:after="0" w:line="149" w:lineRule="exact"/>
              <w:rPr>
                <w:sz w:val="20"/>
                <w:szCs w:val="20"/>
                <w:color w:val="auto"/>
              </w:rPr>
            </w:pPr>
            <w:r>
              <w:rPr>
                <w:rFonts w:ascii="Arial" w:cs="Arial" w:eastAsia="Arial" w:hAnsi="Arial"/>
                <w:sz w:val="14"/>
                <w:szCs w:val="14"/>
                <w:color w:val="auto"/>
              </w:rPr>
              <w:t>Transfer agent and registrar fees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Miscellaneous 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620" w:type="dxa"/>
            <w:vAlign w:val="bottom"/>
          </w:tcPr>
          <w:p>
            <w:pPr>
              <w:ind w:left="200"/>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Officers and Directors.</w:t>
      </w:r>
    </w:p>
    <w:p>
      <w:pPr>
        <w:spacing w:after="0" w:line="83"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Section 145 of the Delaware General Corporation Law permits indemnification of officers, directors and other corporate agents under certain circumstances and subject to certain limitations. Our Amended and Restated Certificate of Incorporation and Amended and Restated Bylaws provide that we will indemnify our directors, officers, employees and agents to the full extent permitted by Delaware General Corporation Law, including in circumstances in which indemnification is otherwise discretionary under Delaware law. In addition, we have entered into separate indemnification agreements with our directors and executive officers which would require us, among other things, to indemnify them against certain liabilities which may arise by reason of their status or service (other than liabilities arising from willful misconduct of a culpable nature). The indemnification provisions in our Amended and Restated Certificate of Incorporation and Amended and Restated Bylaws and the indemnification agreements to be entered into between us and our directors and executive officers may be sufficiently broad to permit indemnification of our directors and executive officers for liabilities (including reimbursement of expenses incurred) arising under the Securities Act. We also intend to maintain director and officer liability insurance, if available on reasonable terms, to insure our directors and officers against the cost of defense, settlement or payment of a judgment under certain circumstances. In addition, the underwriting agreement filed as Exhibit 1.1 to this Registration Statement provides for indemnification by the underwriters of us and our officers and directors for certain liabilities arising under the Securities Act, or otherwise.</w:t>
      </w:r>
    </w:p>
    <w:p>
      <w:pPr>
        <w:spacing w:after="0" w:line="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past three years, we have sold and issued the following unregistered securities: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issued an aggregate of 1,281,500 options to purchase shares of common stock to our directors, employees and consultants at exercise prices ranging from $0.10 to $14.50 and 590,536 shares of common stock have been issued pursuant to the exercise of options. The sales of the above securities were deemed to be exempt from registration pursuant to either Section 4(2) of the Securities Act or Rule 701 promulgated under the Securities Act. The recipients of securities in each of these transactions represented their intention to acquire the securities for investment only and not with view to or for sale in connection with any distribution thereof and appropriate legends were affixed to the share certificates and instruments issued in such transactions. All recipients had adequate access, through their relationship with us, to information about 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January 2001, we issued a convertible promissory note to the Institute for the Study of Aging, Inc., the principal amount of which was $462,929. The note and accrued interest are convertible, at the option of the holder, into shares of common stock at the initial public offering price. The sale of this security was deemed to be exempt from registration pursuant to Section 4(2) of the Securities Act.</w:t>
      </w:r>
    </w:p>
    <w:p>
      <w:pPr>
        <w:spacing w:after="0" w:line="4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May 2001, we issued 268,077 shares of Series BB preferred stock, convertible into 268,077 shares of common stock, to a total of 24 investors for an aggregate purchase price of $1,081,158. The issuance of these securities was exempt from registration under the Securities Act pursuant to Rule 506 under Regulation D. Based on representations made to us by the investors, the investors were all accredited investors within the meaning of Rule 501 of Regulation D under the Securities Act and were able to bear the financial risk of their investment. The investors represented their intentions to acquire the securities for investment only and not with a view to or for sale in connection with any distribution thereof and appropriate legends were affixed to the securities. We did not make any offer to sell the securities by means of any general solicitation or general advertising within the meaning of Rule 502 of Regulation D of the Securities Act.</w:t>
      </w:r>
    </w:p>
    <w:p>
      <w:pPr>
        <w:spacing w:after="0" w:line="5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May and June 2001 and December 2002, we issued 5,481,187 shares of Series C preferred stock, convertible into 5,481,187 shares of common stock, to a total of 60 investors for an aggregate purchase price of $38,730,067. The issuance of these securities was exempt from registration under the Securities Act pursuant to Rule 506 under Regulation D. Based on representations made to us by the investors, the investors were all accredited investors within the meaning of Rule 501 of Regulation D under the Securities Act and were able to bear the financial risk of their investment. The investors represented their intentions to acquire the securities for investment only and not with a view to or for sale in connection with any distribution thereof and appropriate legends were affixed to the securities. We did not make any offer to sell the securities by means of any general solicitation or general advertising within the meaning of Rule 502 of Regulation D of the Securities Act.</w:t>
      </w:r>
    </w:p>
    <w:p>
      <w:pPr>
        <w:spacing w:after="0" w:line="5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past three years we have issued an aggregate of 240,000 shares of our common stock, 4,108 shares of Series B preferred stock, convertible into 12,324 shares of common stock, and 1,326 shares of Series C preferred stock, convertible into 1,326 shares of common stock, for $80, $12,324 and $9,369, respectively, to consultants for services rendered to Corcept. The sales of the above securities were deemed to be exempt from registration pursuant to Section 4(2) of the Securities Act. The recipients of securities in each of these transactions represented their intention to acquire the securities for investment only and not with view to or for sale in connection with any distribution thereof and appropriate legends were affixed to the share certificates and instruments issued in such transactions. All recipients had adequate access, through their relationship with us, to information about us.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underwriters employed in connection with any of the transactions set forth in Item 15.</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83" w:lineRule="exact"/>
        <w:rPr>
          <w:sz w:val="20"/>
          <w:szCs w:val="20"/>
          <w:color w:val="auto"/>
        </w:rPr>
      </w:pPr>
    </w:p>
    <w:p>
      <w:pPr>
        <w:ind w:left="880" w:hanging="416"/>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34"/>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4"/>
        </w:trPr>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rPr>
              <w:t>Number</w:t>
            </w:r>
          </w:p>
        </w:tc>
        <w:tc>
          <w:tcPr>
            <w:tcW w:w="4680" w:type="dxa"/>
            <w:vAlign w:val="bottom"/>
          </w:tcPr>
          <w:p>
            <w:pPr>
              <w:spacing w:after="0"/>
              <w:rPr>
                <w:sz w:val="15"/>
                <w:szCs w:val="15"/>
                <w:color w:val="auto"/>
              </w:rPr>
            </w:pPr>
          </w:p>
        </w:tc>
        <w:tc>
          <w:tcPr>
            <w:tcW w:w="60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Description of Document</w:t>
            </w:r>
          </w:p>
        </w:tc>
      </w:tr>
      <w:tr>
        <w:trPr>
          <w:trHeight w:val="95"/>
        </w:trPr>
        <w:tc>
          <w:tcPr>
            <w:tcW w:w="68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r>
      <w:tr>
        <w:trPr>
          <w:trHeight w:val="424"/>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Specimen Common Stock Certificate</w:t>
            </w:r>
          </w:p>
        </w:tc>
      </w:tr>
      <w:tr>
        <w:trPr>
          <w:trHeight w:val="318"/>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4.2†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87"/>
              </w:rPr>
              <w:t>Amended and Restated Information and Registration Rights Agreement by and among Corcept Therapeutics Incorporated and certain holders</w:t>
            </w:r>
          </w:p>
        </w:tc>
      </w:tr>
      <w:tr>
        <w:trPr>
          <w:trHeight w:val="222"/>
        </w:trPr>
        <w:tc>
          <w:tcPr>
            <w:tcW w:w="680" w:type="dxa"/>
            <w:vAlign w:val="bottom"/>
          </w:tcPr>
          <w:p>
            <w:pPr>
              <w:spacing w:after="0"/>
              <w:rPr>
                <w:sz w:val="19"/>
                <w:szCs w:val="19"/>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of preferred stock, dated as of May 8, 2001</w:t>
            </w:r>
          </w:p>
        </w:tc>
      </w:tr>
      <w:tr>
        <w:trPr>
          <w:trHeight w:val="318"/>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4.3†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5"/>
              </w:rPr>
              <w:t>Amendment No. 1 to Amended and Restated Information and Registration Rights Agreement by and among Corcept Therapeutics</w:t>
            </w:r>
          </w:p>
        </w:tc>
      </w:tr>
      <w:tr>
        <w:trPr>
          <w:trHeight w:val="222"/>
        </w:trPr>
        <w:tc>
          <w:tcPr>
            <w:tcW w:w="680" w:type="dxa"/>
            <w:vAlign w:val="bottom"/>
          </w:tcPr>
          <w:p>
            <w:pPr>
              <w:spacing w:after="0"/>
              <w:rPr>
                <w:sz w:val="19"/>
                <w:szCs w:val="19"/>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Incorporated and certain holders of preferred stock, dated as of March 16, 2004</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Heller Ehrman White &amp; McAuliffe LLP</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2000 Stock Option Plan</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Employment offer letter to Robert L. Roe, M.D., dated October 18, 2001</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Employment offer letter to Fred Kurland, dated February 3, 2004</w:t>
            </w:r>
          </w:p>
        </w:tc>
      </w:tr>
      <w:tr>
        <w:trPr>
          <w:trHeight w:val="318"/>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89"/>
              </w:rPr>
              <w:t>Promissory Note and Pledge Agreement by and between Corcept Therapeutics Incorporated and Robert L. Roe, M.D., dated as of October</w:t>
            </w:r>
          </w:p>
        </w:tc>
      </w:tr>
      <w:tr>
        <w:trPr>
          <w:trHeight w:val="222"/>
        </w:trPr>
        <w:tc>
          <w:tcPr>
            <w:tcW w:w="680" w:type="dxa"/>
            <w:vAlign w:val="bottom"/>
          </w:tcPr>
          <w:p>
            <w:pPr>
              <w:spacing w:after="0"/>
              <w:rPr>
                <w:sz w:val="19"/>
                <w:szCs w:val="19"/>
                <w:color w:val="auto"/>
              </w:rPr>
            </w:pPr>
          </w:p>
        </w:tc>
        <w:tc>
          <w:tcPr>
            <w:tcW w:w="4680" w:type="dxa"/>
            <w:vAlign w:val="bottom"/>
          </w:tcPr>
          <w:p>
            <w:pPr>
              <w:ind w:left="780"/>
              <w:spacing w:after="0"/>
              <w:rPr>
                <w:sz w:val="20"/>
                <w:szCs w:val="20"/>
                <w:color w:val="auto"/>
              </w:rPr>
            </w:pPr>
            <w:r>
              <w:rPr>
                <w:rFonts w:ascii="Arial" w:cs="Arial" w:eastAsia="Arial" w:hAnsi="Arial"/>
                <w:sz w:val="18"/>
                <w:szCs w:val="18"/>
                <w:color w:val="auto"/>
              </w:rPr>
              <w:t>22, 2001</w:t>
            </w:r>
          </w:p>
        </w:tc>
        <w:tc>
          <w:tcPr>
            <w:tcW w:w="218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Indemnification Agreement</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89"/>
              </w:rPr>
              <w:t>License Agreement by and between The Board of Trustees of the Leland Stanford Junior University and Corcept Therapeutics Incorporated,</w:t>
            </w:r>
          </w:p>
        </w:tc>
      </w:tr>
      <w:tr>
        <w:trPr>
          <w:trHeight w:val="222"/>
        </w:trPr>
        <w:tc>
          <w:tcPr>
            <w:tcW w:w="680" w:type="dxa"/>
            <w:vAlign w:val="bottom"/>
          </w:tcPr>
          <w:p>
            <w:pPr>
              <w:spacing w:after="0"/>
              <w:rPr>
                <w:sz w:val="19"/>
                <w:szCs w:val="19"/>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dated as of July 1, 1999</w:t>
            </w:r>
          </w:p>
        </w:tc>
      </w:tr>
      <w:tr>
        <w:trPr>
          <w:trHeight w:val="318"/>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0"/>
              </w:rPr>
              <w:t>Research Agreement/cGMP Manufacturing, by and between Corcept Therapeutics Incorporated and KP Pharmaceutical Technology, Inc.,</w:t>
            </w:r>
          </w:p>
        </w:tc>
      </w:tr>
      <w:tr>
        <w:trPr>
          <w:trHeight w:val="222"/>
        </w:trPr>
        <w:tc>
          <w:tcPr>
            <w:tcW w:w="680" w:type="dxa"/>
            <w:vAlign w:val="bottom"/>
          </w:tcPr>
          <w:p>
            <w:pPr>
              <w:spacing w:after="0"/>
              <w:rPr>
                <w:sz w:val="19"/>
                <w:szCs w:val="19"/>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dated as of February 12, 2002</w:t>
            </w:r>
          </w:p>
        </w:tc>
      </w:tr>
      <w:tr>
        <w:trPr>
          <w:trHeight w:val="318"/>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0"/>
              </w:rPr>
              <w:t>Master Clinical Development Agreement by and between Corcept Therapeutics Incorporated and Scirex Corporation, dated as of July 12,</w:t>
            </w:r>
          </w:p>
        </w:tc>
      </w:tr>
      <w:tr>
        <w:trPr>
          <w:trHeight w:val="222"/>
        </w:trPr>
        <w:tc>
          <w:tcPr>
            <w:tcW w:w="680" w:type="dxa"/>
            <w:vAlign w:val="bottom"/>
          </w:tcPr>
          <w:p>
            <w:pPr>
              <w:spacing w:after="0"/>
              <w:rPr>
                <w:sz w:val="19"/>
                <w:szCs w:val="19"/>
                <w:color w:val="auto"/>
              </w:rPr>
            </w:pPr>
          </w:p>
        </w:tc>
        <w:tc>
          <w:tcPr>
            <w:tcW w:w="4680" w:type="dxa"/>
            <w:vAlign w:val="bottom"/>
          </w:tcPr>
          <w:p>
            <w:pPr>
              <w:ind w:left="780"/>
              <w:spacing w:after="0"/>
              <w:rPr>
                <w:sz w:val="20"/>
                <w:szCs w:val="20"/>
                <w:color w:val="auto"/>
              </w:rPr>
            </w:pPr>
            <w:r>
              <w:rPr>
                <w:rFonts w:ascii="Arial" w:cs="Arial" w:eastAsia="Arial" w:hAnsi="Arial"/>
                <w:sz w:val="18"/>
                <w:szCs w:val="18"/>
                <w:color w:val="auto"/>
              </w:rPr>
              <w:t>2001</w:t>
            </w:r>
          </w:p>
        </w:tc>
        <w:tc>
          <w:tcPr>
            <w:tcW w:w="218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2"/>
              </w:rPr>
              <w:t>Memorandum of Understanding, Supply and Services Agreement, by and between Corcept Therapeutics Incorporated and ScinoPharm</w:t>
            </w:r>
          </w:p>
        </w:tc>
      </w:tr>
      <w:tr>
        <w:trPr>
          <w:trHeight w:val="222"/>
        </w:trPr>
        <w:tc>
          <w:tcPr>
            <w:tcW w:w="680" w:type="dxa"/>
            <w:vAlign w:val="bottom"/>
          </w:tcPr>
          <w:p>
            <w:pPr>
              <w:spacing w:after="0"/>
              <w:rPr>
                <w:sz w:val="19"/>
                <w:szCs w:val="19"/>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Taiwan, dated as of June 12, 2000</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Consulting, Confidential Information and Inventions Agreement by and between Corcept Therapeutics Incorporated and Alan Schatzberg</w:t>
            </w:r>
          </w:p>
        </w:tc>
      </w:tr>
      <w:tr>
        <w:trPr>
          <w:trHeight w:val="222"/>
        </w:trPr>
        <w:tc>
          <w:tcPr>
            <w:tcW w:w="680" w:type="dxa"/>
            <w:vAlign w:val="bottom"/>
          </w:tcPr>
          <w:p>
            <w:pPr>
              <w:spacing w:after="0"/>
              <w:rPr>
                <w:sz w:val="19"/>
                <w:szCs w:val="19"/>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M.D., dated as of May 31, 1999</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10.11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2004 Equity Incentive Plan</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89"/>
              </w:rPr>
              <w:t>Master Services Agreement by and between Corcerpt Therapeutics Incorporated and PPD Development, LP, dated as of January 17, 2003</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auditors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Heller Ehrman White &amp; McAuliffe LLP (included in Exhibit 5.1)</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r>
      <w:tr>
        <w:trPr>
          <w:trHeight w:val="324"/>
        </w:trPr>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 SCHEDULE</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right="240" w:firstLine="456"/>
        <w:spacing w:after="0" w:line="325"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77" w:lineRule="exact"/>
        <w:rPr>
          <w:sz w:val="20"/>
          <w:szCs w:val="20"/>
          <w:color w:val="auto"/>
        </w:rPr>
      </w:pPr>
    </w:p>
    <w:p>
      <w:pPr>
        <w:ind w:left="460" w:firstLine="443"/>
        <w:spacing w:after="0" w:line="306"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2"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Amendment No. 2 to Registration Statement to be signed on its behalf by the undersigned, thereunto duly authorized, in Menlo Park, California, on the 9th day of April, 2004.</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CORCEPT THERAPEUTICS INCORPORATED</w:t>
      </w:r>
    </w:p>
    <w:p>
      <w:pPr>
        <w:spacing w:after="0" w:line="231"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K. B</w:t>
      </w:r>
      <w:r>
        <w:rPr>
          <w:rFonts w:ascii="Arial" w:cs="Arial" w:eastAsia="Arial" w:hAnsi="Arial"/>
          <w:sz w:val="13"/>
          <w:szCs w:val="13"/>
          <w:color w:val="auto"/>
        </w:rPr>
        <w:t>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Joseph K. Belanoff, M.D.,</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Chief Executive Officer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70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300" w:type="dxa"/>
            <w:vAlign w:val="bottom"/>
            <w:gridSpan w:val="2"/>
          </w:tcPr>
          <w:p>
            <w:pPr>
              <w:ind w:left="1100"/>
              <w:spacing w:after="0"/>
              <w:rPr>
                <w:sz w:val="20"/>
                <w:szCs w:val="20"/>
                <w:color w:val="auto"/>
              </w:rPr>
            </w:pPr>
            <w:r>
              <w:rPr>
                <w:rFonts w:ascii="Arial" w:cs="Arial" w:eastAsia="Arial" w:hAnsi="Arial"/>
                <w:sz w:val="18"/>
                <w:szCs w:val="18"/>
                <w:color w:val="auto"/>
                <w:w w:val="94"/>
              </w:rPr>
              <w:t>/s/</w:t>
            </w:r>
          </w:p>
        </w:tc>
        <w:tc>
          <w:tcPr>
            <w:tcW w:w="3160" w:type="dxa"/>
            <w:vAlign w:val="bottom"/>
            <w:gridSpan w:val="3"/>
          </w:tcPr>
          <w:p>
            <w:pPr>
              <w:jc w:val="center"/>
              <w:ind w:right="132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K. B</w:t>
            </w:r>
            <w:r>
              <w:rPr>
                <w:rFonts w:ascii="Arial" w:cs="Arial" w:eastAsia="Arial" w:hAnsi="Arial"/>
                <w:sz w:val="14"/>
                <w:szCs w:val="14"/>
                <w:color w:val="auto"/>
                <w:w w:val="96"/>
              </w:rPr>
              <w:t>ELANOFF</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 Director (Principal</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442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160" w:type="dxa"/>
            <w:vAlign w:val="bottom"/>
            <w:gridSpan w:val="3"/>
            <w:vMerge w:val="restart"/>
          </w:tcPr>
          <w:p>
            <w:pPr>
              <w:jc w:val="center"/>
              <w:ind w:right="1280"/>
              <w:spacing w:after="0"/>
              <w:rPr>
                <w:sz w:val="20"/>
                <w:szCs w:val="20"/>
                <w:color w:val="auto"/>
              </w:rPr>
            </w:pPr>
            <w:r>
              <w:rPr>
                <w:rFonts w:ascii="Arial" w:cs="Arial" w:eastAsia="Arial" w:hAnsi="Arial"/>
                <w:sz w:val="14"/>
                <w:szCs w:val="14"/>
                <w:b w:val="1"/>
                <w:bCs w:val="1"/>
                <w:color w:val="auto"/>
                <w:w w:val="87"/>
              </w:rPr>
              <w:t>Joseph K. Belanoff, M.D.</w:t>
            </w:r>
          </w:p>
        </w:tc>
        <w:tc>
          <w:tcPr>
            <w:tcW w:w="120" w:type="dxa"/>
            <w:vAlign w:val="bottom"/>
            <w:vMerge w:val="continue"/>
          </w:tcPr>
          <w:p>
            <w:pPr>
              <w:spacing w:after="0"/>
              <w:rPr>
                <w:sz w:val="7"/>
                <w:szCs w:val="7"/>
                <w:color w:val="auto"/>
              </w:rPr>
            </w:pPr>
          </w:p>
        </w:tc>
        <w:tc>
          <w:tcPr>
            <w:tcW w:w="442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RED</w:t>
            </w:r>
            <w:r>
              <w:rPr>
                <w:rFonts w:ascii="Arial" w:cs="Arial" w:eastAsia="Arial" w:hAnsi="Arial"/>
                <w:sz w:val="18"/>
                <w:szCs w:val="18"/>
                <w:color w:val="auto"/>
              </w:rPr>
              <w:t xml:space="preserve"> K</w:t>
            </w:r>
            <w:r>
              <w:rPr>
                <w:rFonts w:ascii="Arial" w:cs="Arial" w:eastAsia="Arial" w:hAnsi="Arial"/>
                <w:sz w:val="14"/>
                <w:szCs w:val="14"/>
                <w:color w:val="auto"/>
              </w:rPr>
              <w:t>URLAND</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and</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4420" w:type="dxa"/>
            <w:vAlign w:val="bottom"/>
            <w:gridSpan w:val="3"/>
            <w:vMerge w:val="restart"/>
          </w:tcPr>
          <w:p>
            <w:pPr>
              <w:ind w:left="460"/>
              <w:spacing w:after="0"/>
              <w:rPr>
                <w:sz w:val="20"/>
                <w:szCs w:val="20"/>
                <w:color w:val="auto"/>
              </w:rPr>
            </w:pPr>
            <w:r>
              <w:rPr>
                <w:rFonts w:ascii="Arial" w:cs="Arial" w:eastAsia="Arial" w:hAnsi="Arial"/>
                <w:sz w:val="18"/>
                <w:szCs w:val="18"/>
                <w:color w:val="auto"/>
              </w:rPr>
              <w:t>Accounting Officer)</w:t>
            </w: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160" w:type="dxa"/>
            <w:vAlign w:val="bottom"/>
            <w:gridSpan w:val="3"/>
            <w:vMerge w:val="restart"/>
          </w:tcPr>
          <w:p>
            <w:pPr>
              <w:jc w:val="center"/>
              <w:ind w:right="1280"/>
              <w:spacing w:after="0"/>
              <w:rPr>
                <w:sz w:val="20"/>
                <w:szCs w:val="20"/>
                <w:color w:val="auto"/>
              </w:rPr>
            </w:pPr>
            <w:r>
              <w:rPr>
                <w:rFonts w:ascii="Arial" w:cs="Arial" w:eastAsia="Arial" w:hAnsi="Arial"/>
                <w:sz w:val="14"/>
                <w:szCs w:val="14"/>
                <w:b w:val="1"/>
                <w:bCs w:val="1"/>
                <w:color w:val="auto"/>
                <w:w w:val="91"/>
              </w:rPr>
              <w:t>Fred Kurland</w:t>
            </w:r>
          </w:p>
        </w:tc>
        <w:tc>
          <w:tcPr>
            <w:tcW w:w="120" w:type="dxa"/>
            <w:vAlign w:val="bottom"/>
            <w:vMerge w:val="continue"/>
          </w:tcPr>
          <w:p>
            <w:pPr>
              <w:spacing w:after="0"/>
              <w:rPr>
                <w:sz w:val="7"/>
                <w:szCs w:val="7"/>
                <w:color w:val="auto"/>
              </w:rPr>
            </w:pPr>
          </w:p>
        </w:tc>
        <w:tc>
          <w:tcPr>
            <w:tcW w:w="442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N. W</w:t>
            </w:r>
            <w:r>
              <w:rPr>
                <w:rFonts w:ascii="Arial" w:cs="Arial" w:eastAsia="Arial" w:hAnsi="Arial"/>
                <w:sz w:val="14"/>
                <w:szCs w:val="14"/>
                <w:color w:val="auto"/>
                <w:w w:val="98"/>
              </w:rPr>
              <w:t>ILSON</w:t>
            </w:r>
            <w:r>
              <w:rPr>
                <w:rFonts w:ascii="Arial" w:cs="Arial" w:eastAsia="Arial" w:hAnsi="Arial"/>
                <w:sz w:val="18"/>
                <w:szCs w:val="18"/>
                <w:color w:val="auto"/>
                <w:w w:val="98"/>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 and Chairman of the Board of Directors</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6"/>
              </w:rPr>
              <w:t>James N. Wilson</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LAN</w:t>
            </w:r>
            <w:r>
              <w:rPr>
                <w:rFonts w:ascii="Arial" w:cs="Arial" w:eastAsia="Arial" w:hAnsi="Arial"/>
                <w:sz w:val="18"/>
                <w:szCs w:val="18"/>
                <w:color w:val="auto"/>
                <w:w w:val="98"/>
              </w:rPr>
              <w:t xml:space="preserve"> F. S</w:t>
            </w:r>
            <w:r>
              <w:rPr>
                <w:rFonts w:ascii="Arial" w:cs="Arial" w:eastAsia="Arial" w:hAnsi="Arial"/>
                <w:sz w:val="14"/>
                <w:szCs w:val="14"/>
                <w:color w:val="auto"/>
                <w:w w:val="98"/>
              </w:rPr>
              <w:t>CHATZBERG</w:t>
            </w:r>
            <w:r>
              <w:rPr>
                <w:rFonts w:ascii="Arial" w:cs="Arial" w:eastAsia="Arial" w:hAnsi="Arial"/>
                <w:sz w:val="18"/>
                <w:szCs w:val="18"/>
                <w:color w:val="auto"/>
                <w:w w:val="98"/>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Alan F. Schatzberg</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w w:val="98"/>
              </w:rPr>
              <w:t>G. L</w:t>
            </w:r>
            <w:r>
              <w:rPr>
                <w:rFonts w:ascii="Arial" w:cs="Arial" w:eastAsia="Arial" w:hAnsi="Arial"/>
                <w:sz w:val="14"/>
                <w:szCs w:val="14"/>
                <w:color w:val="auto"/>
                <w:w w:val="98"/>
              </w:rPr>
              <w:t>EONARD</w:t>
            </w:r>
            <w:r>
              <w:rPr>
                <w:rFonts w:ascii="Arial" w:cs="Arial" w:eastAsia="Arial" w:hAnsi="Arial"/>
                <w:sz w:val="18"/>
                <w:szCs w:val="18"/>
                <w:color w:val="auto"/>
                <w:w w:val="98"/>
              </w:rPr>
              <w:t xml:space="preserve"> B</w:t>
            </w:r>
            <w:r>
              <w:rPr>
                <w:rFonts w:ascii="Arial" w:cs="Arial" w:eastAsia="Arial" w:hAnsi="Arial"/>
                <w:sz w:val="14"/>
                <w:szCs w:val="14"/>
                <w:color w:val="auto"/>
                <w:w w:val="98"/>
              </w:rPr>
              <w:t>AKER</w:t>
            </w:r>
            <w:r>
              <w:rPr>
                <w:rFonts w:ascii="Arial" w:cs="Arial" w:eastAsia="Arial" w:hAnsi="Arial"/>
                <w:sz w:val="18"/>
                <w:szCs w:val="18"/>
                <w:color w:val="auto"/>
                <w:w w:val="98"/>
              </w:rPr>
              <w:t>, J</w:t>
            </w:r>
            <w:r>
              <w:rPr>
                <w:rFonts w:ascii="Arial" w:cs="Arial" w:eastAsia="Arial" w:hAnsi="Arial"/>
                <w:sz w:val="14"/>
                <w:szCs w:val="14"/>
                <w:color w:val="auto"/>
                <w:w w:val="98"/>
              </w:rPr>
              <w:t>R</w:t>
            </w:r>
            <w:r>
              <w:rPr>
                <w:rFonts w:ascii="Arial" w:cs="Arial" w:eastAsia="Arial" w:hAnsi="Arial"/>
                <w:sz w:val="18"/>
                <w:szCs w:val="18"/>
                <w:color w:val="auto"/>
                <w:w w:val="98"/>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8"/>
              </w:rPr>
              <w:t>G. Leonard Baker, Jr.</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S</w:t>
            </w:r>
            <w:r>
              <w:rPr>
                <w:rFonts w:ascii="Arial" w:cs="Arial" w:eastAsia="Arial" w:hAnsi="Arial"/>
                <w:sz w:val="14"/>
                <w:szCs w:val="14"/>
                <w:color w:val="auto"/>
                <w:w w:val="99"/>
              </w:rPr>
              <w:t>INGER</w:t>
            </w: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8"/>
              </w:rPr>
              <w:t>David B. Singer</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K</w:t>
            </w:r>
            <w:r>
              <w:rPr>
                <w:rFonts w:ascii="Arial" w:cs="Arial" w:eastAsia="Arial" w:hAnsi="Arial"/>
                <w:sz w:val="14"/>
                <w:szCs w:val="14"/>
                <w:color w:val="auto"/>
              </w:rPr>
              <w:t>APP</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Steven Kapp</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LIX</w:t>
            </w:r>
            <w:r>
              <w:rPr>
                <w:rFonts w:ascii="Arial" w:cs="Arial" w:eastAsia="Arial" w:hAnsi="Arial"/>
                <w:sz w:val="18"/>
                <w:szCs w:val="18"/>
                <w:color w:val="auto"/>
              </w:rPr>
              <w:t xml:space="preserve"> M</w:t>
            </w:r>
            <w:r>
              <w:rPr>
                <w:rFonts w:ascii="Arial" w:cs="Arial" w:eastAsia="Arial" w:hAnsi="Arial"/>
                <w:sz w:val="14"/>
                <w:szCs w:val="14"/>
                <w:color w:val="auto"/>
              </w:rPr>
              <w:t>ARDUEL</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3"/>
              </w:rPr>
              <w:t>Alix Marduel</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3"/>
          </w:tcPr>
          <w:p>
            <w:pPr>
              <w:jc w:val="center"/>
              <w:ind w:right="120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OSEPH</w:t>
            </w:r>
            <w:r>
              <w:rPr>
                <w:rFonts w:ascii="Arial" w:cs="Arial" w:eastAsia="Arial" w:hAnsi="Arial"/>
                <w:sz w:val="18"/>
                <w:szCs w:val="18"/>
                <w:color w:val="auto"/>
                <w:w w:val="93"/>
              </w:rPr>
              <w:t xml:space="preserve"> C. C</w:t>
            </w:r>
            <w:r>
              <w:rPr>
                <w:rFonts w:ascii="Arial" w:cs="Arial" w:eastAsia="Arial" w:hAnsi="Arial"/>
                <w:sz w:val="14"/>
                <w:szCs w:val="14"/>
                <w:color w:val="auto"/>
                <w:w w:val="93"/>
              </w:rPr>
              <w:t>OOK</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120" w:type="dxa"/>
            <w:vAlign w:val="bottom"/>
          </w:tcPr>
          <w:p>
            <w:pPr>
              <w:spacing w:after="0"/>
              <w:rPr>
                <w:sz w:val="24"/>
                <w:szCs w:val="24"/>
                <w:color w:val="auto"/>
              </w:rPr>
            </w:pP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674"/>
              <w:spacing w:after="0"/>
              <w:rPr>
                <w:sz w:val="20"/>
                <w:szCs w:val="20"/>
                <w:color w:val="auto"/>
              </w:rPr>
            </w:pPr>
            <w:r>
              <w:rPr>
                <w:rFonts w:ascii="Arial" w:cs="Arial" w:eastAsia="Arial" w:hAnsi="Arial"/>
                <w:sz w:val="18"/>
                <w:szCs w:val="18"/>
                <w:color w:val="auto"/>
                <w:w w:val="92"/>
              </w:rPr>
              <w:t>April 9, 2004</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5"/>
              </w:rPr>
              <w:t>Joseph C. Cook, Jr.</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00" w:type="dxa"/>
            <w:vAlign w:val="bottom"/>
            <w:gridSpan w:val="2"/>
          </w:tcPr>
          <w:p>
            <w:pPr>
              <w:spacing w:after="0"/>
              <w:rPr>
                <w:sz w:val="20"/>
                <w:szCs w:val="20"/>
                <w:color w:val="auto"/>
              </w:rPr>
            </w:pPr>
            <w:r>
              <w:rPr>
                <w:rFonts w:ascii="Arial" w:cs="Arial" w:eastAsia="Arial" w:hAnsi="Arial"/>
                <w:sz w:val="18"/>
                <w:szCs w:val="18"/>
                <w:color w:val="auto"/>
              </w:rPr>
              <w:t>* By:</w:t>
            </w:r>
          </w:p>
        </w:tc>
        <w:tc>
          <w:tcPr>
            <w:tcW w:w="66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RED</w:t>
            </w:r>
            <w:r>
              <w:rPr>
                <w:rFonts w:ascii="Arial" w:cs="Arial" w:eastAsia="Arial" w:hAnsi="Arial"/>
                <w:sz w:val="18"/>
                <w:szCs w:val="18"/>
                <w:color w:val="auto"/>
              </w:rPr>
              <w:t xml:space="preserve"> K</w:t>
            </w:r>
            <w:r>
              <w:rPr>
                <w:rFonts w:ascii="Arial" w:cs="Arial" w:eastAsia="Arial" w:hAnsi="Arial"/>
                <w:sz w:val="14"/>
                <w:szCs w:val="14"/>
                <w:color w:val="auto"/>
              </w:rPr>
              <w:t>URLAND</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Fred Kurland</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Attorney-in-Fact</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ind w:left="1000"/>
              <w:spacing w:after="0"/>
              <w:rPr>
                <w:sz w:val="20"/>
                <w:szCs w:val="20"/>
                <w:color w:val="auto"/>
              </w:rPr>
            </w:pPr>
            <w:r>
              <w:rPr>
                <w:rFonts w:ascii="Arial" w:cs="Arial" w:eastAsia="Arial" w:hAnsi="Arial"/>
                <w:sz w:val="18"/>
                <w:szCs w:val="18"/>
                <w:color w:val="auto"/>
              </w:rPr>
              <w:t>II-5</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Exhibit</w:t>
            </w:r>
          </w:p>
        </w:tc>
        <w:tc>
          <w:tcPr>
            <w:tcW w:w="4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74"/>
        </w:trPr>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Number</w:t>
            </w:r>
          </w:p>
        </w:tc>
        <w:tc>
          <w:tcPr>
            <w:tcW w:w="470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95"/>
        </w:trPr>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r>
      <w:tr>
        <w:trPr>
          <w:trHeight w:val="4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Specimen Common Stock Certificate</w:t>
            </w: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8"/>
              </w:rPr>
              <w:t>Amended and Restated Information and Registration Rights Agreement by and among Corcept Therapeutics Incorporated and certain holders</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of preferred stock, dated as of May 8, 2001</w:t>
            </w:r>
          </w:p>
        </w:tc>
      </w:tr>
      <w:tr>
        <w:trPr>
          <w:trHeight w:val="318"/>
        </w:trPr>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4.3†</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6"/>
              </w:rPr>
              <w:t>Amendment No. 1 to Amended and Restated Information and Registration Rights Agreement by and among Corcept Therapeutics</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Incorporated and certain holders of preferred stock, dated as of March 16, 2004</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Opinion of Heller Ehrman White &amp; McAuliffe LLP</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2000 Stock Option Plan</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Employment offer letter to Robert L. Roe, M.D., dated October 18, 2001</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Employment offer letter to Fred Kurland, dated February 3, 2004</w:t>
            </w: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7"/>
              </w:rPr>
              <w:t>Promissory Note and Pledge Agreement by and between Corcept Therapeutics Incorporated and Robert L. Roe, M.D., dated as of October 22,</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2001</w:t>
            </w:r>
          </w:p>
        </w:tc>
        <w:tc>
          <w:tcPr>
            <w:tcW w:w="146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10.5†</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Form of Indemnification Agreement</w:t>
            </w: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10.6#†</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License Agreement by and between The Board of Trustees of the Leland Stanford Junior University and Corcept Therapeutics Incorporated,</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dated as of July 1, 1999</w:t>
            </w: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Research Agreement/cGMP Manufacturing, by and between Corcept Therapeutics Incorporated and KP Pharmaceutical Technology, Inc.,</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dated as of February 12, 2002</w:t>
            </w: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Master Clinical Development Agreement by and between Corcept Therapeutics Incorporated and Scirex Corporation, dated as of July 12,</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2001</w:t>
            </w:r>
          </w:p>
        </w:tc>
        <w:tc>
          <w:tcPr>
            <w:tcW w:w="146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10.9#†</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Memorandum of Understanding, Supply and Services Agreement, by and between Corcept Therapeutics Incorporated and ScinoPharm</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Taiwan, dated as of June 12, 2000</w:t>
            </w:r>
          </w:p>
        </w:tc>
      </w:tr>
      <w:tr>
        <w:trPr>
          <w:trHeight w:val="318"/>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10.10†</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Consulting, Confidential Information and Inventions Agreement by and between Corcept Therapeutics Incorporated and Alan Schatzberg</w:t>
            </w: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M.D., dated as of May 31, 1999</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10.11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2004 Equity Incentive Plan</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10.12†</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Master Services Agreement by and between Corcerpt Therapeutics Incorporated and PPD Development, LP, dated as of January 17, 2003</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23.1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Consent of Ernst &amp; Young LLP, independent auditors</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Consent of Heller Ehrman White &amp; McAuliffe LLP (included in Exhibit 5.1)</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24.1†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Power of Attorney (included on page II-5)</w:t>
            </w:r>
          </w:p>
        </w:tc>
      </w:tr>
      <w:tr>
        <w:trPr>
          <w:trHeight w:val="32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99.1†</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ectPr>
          <w:pgSz w:w="11900" w:h="16838" w:orient="portrait"/>
          <w:cols w:equalWidth="0" w:num="1">
            <w:col w:w="11380"/>
          </w:cols>
          <w:pgMar w:left="240" w:top="459" w:right="2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10.11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w:t>
      </w:r>
      <w:r>
        <w:rPr>
          <w:rFonts w:ascii="Arial" w:cs="Arial" w:eastAsia="Arial" w:hAnsi="Arial"/>
          <w:sz w:val="18"/>
          <w:szCs w:val="18"/>
          <w:b w:val="1"/>
          <w:bCs w:val="1"/>
          <w:color w:val="auto"/>
        </w:rPr>
        <w:t>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ORCEPT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4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Purpose of this Plan</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purpose of this 2004 Equity Incentive Plan is to enhance the long-term stockholder value of Corcept Therapeutics, Inc. by offering opportunities to eligible individuals to participate in the growth in value of the equity of Corcept Therapeutics, Inc.</w:t>
      </w:r>
    </w:p>
    <w:p>
      <w:pPr>
        <w:spacing w:after="0" w:line="112" w:lineRule="exact"/>
        <w:rPr>
          <w:sz w:val="20"/>
          <w:szCs w:val="20"/>
          <w:color w:val="auto"/>
        </w:rPr>
      </w:pPr>
    </w:p>
    <w:p>
      <w:pPr>
        <w:ind w:left="460" w:right="8060" w:hanging="452"/>
        <w:spacing w:after="0" w:line="332" w:lineRule="auto"/>
        <w:tabs>
          <w:tab w:leader="none" w:pos="449"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Rules of Interpretation </w:t>
      </w: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p>
    <w:p>
      <w:pPr>
        <w:ind w:left="460"/>
        <w:spacing w:after="0"/>
        <w:rPr>
          <w:rFonts w:ascii="Arial" w:cs="Arial" w:eastAsia="Arial" w:hAnsi="Arial"/>
          <w:sz w:val="18"/>
          <w:szCs w:val="18"/>
          <w:color w:val="auto"/>
        </w:rPr>
      </w:pPr>
      <w:r>
        <w:rPr>
          <w:rFonts w:ascii="Arial" w:cs="Arial" w:eastAsia="Arial" w:hAnsi="Arial"/>
          <w:sz w:val="18"/>
          <w:szCs w:val="18"/>
          <w:color w:val="auto"/>
        </w:rPr>
        <w:t>This Plan uses the following defined terms:</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the Committee, or any officer or employee of the Company to whom the Board or the Committee delegates authority to administer this Plan.</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b w:val="1"/>
          <w:bCs w:val="1"/>
          <w:i w:val="1"/>
          <w:iCs w:val="1"/>
          <w:color w:val="auto"/>
        </w:rPr>
        <w:t>ffiliate</w:t>
      </w:r>
      <w:r>
        <w:rPr>
          <w:rFonts w:ascii="Arial" w:cs="Arial" w:eastAsia="Arial" w:hAnsi="Arial"/>
          <w:sz w:val="18"/>
          <w:szCs w:val="18"/>
          <w:color w:val="auto"/>
        </w:rPr>
        <w:t>” means a “parent” or “subsidiary” (as each is defined in Section 424 of the Code) of the Company and any other entity that the Board or Committee designates as an “Affiliate” for purposes of this Plan.</w:t>
      </w:r>
    </w:p>
    <w:p>
      <w:pPr>
        <w:spacing w:after="0" w:line="37" w:lineRule="exact"/>
        <w:rPr>
          <w:rFonts w:ascii="Arial" w:cs="Arial" w:eastAsia="Arial" w:hAnsi="Arial"/>
          <w:sz w:val="18"/>
          <w:szCs w:val="18"/>
          <w:color w:val="auto"/>
        </w:rPr>
      </w:pPr>
    </w:p>
    <w:p>
      <w:pPr>
        <w:ind w:left="460" w:right="260" w:firstLine="443"/>
        <w:spacing w:after="0" w:line="259"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and all laws of whatever jurisdiction, within or without the United States, and the rules of any stock exchange or quotation system on which Shares are listed or quoted, applicable to the taking or refraining from taking of any action under this Plan, including the administration of this Plan and the issuance or transfer of Awards or Award Shares.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SAR, Cash Award, or Option granted in accordance with the terms of this Plan.</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the document evidencing the grant of an Award.</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Shares covered by an outstanding Award or purchased under an Award.</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Awardee</w:t>
      </w:r>
      <w:r>
        <w:rPr>
          <w:rFonts w:ascii="Arial" w:cs="Arial" w:eastAsia="Arial" w:hAnsi="Arial"/>
          <w:sz w:val="18"/>
          <w:szCs w:val="18"/>
          <w:color w:val="auto"/>
        </w:rPr>
        <w:t>” means: (i) a person to whom an Award has been granted, including a holder of a Substitute Award, (ii) a person to whom an Award has been transferred in accordance with all applicable requirements of Sections 6.5, 7(h), and 16.</w:t>
      </w:r>
    </w:p>
    <w:p>
      <w:pPr>
        <w:sectPr>
          <w:pgSz w:w="11900" w:h="16838" w:orient="portrait"/>
          <w:cols w:equalWidth="0" w:num="1">
            <w:col w:w="11420"/>
          </w:cols>
          <w:pgMar w:left="240" w:top="131" w:right="239" w:bottom="1440" w:gutter="0" w:footer="0" w:header="0"/>
        </w:sectPr>
      </w:pPr>
    </w:p>
    <w:bookmarkStart w:id="106" w:name="page107"/>
    <w:bookmarkEnd w:id="106"/>
    <w:p>
      <w:pPr>
        <w:ind w:left="700" w:hanging="25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left="660" w:hanging="217"/>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means the right to receive cash as described in Section 8.3.</w:t>
      </w:r>
    </w:p>
    <w:p>
      <w:pPr>
        <w:spacing w:after="0" w:line="76" w:lineRule="exact"/>
        <w:rPr>
          <w:rFonts w:ascii="Arial" w:cs="Arial" w:eastAsia="Arial" w:hAnsi="Arial"/>
          <w:sz w:val="18"/>
          <w:szCs w:val="18"/>
          <w:color w:val="auto"/>
        </w:rPr>
      </w:pPr>
    </w:p>
    <w:p>
      <w:pPr>
        <w:ind w:firstLine="443"/>
        <w:spacing w:after="0" w:line="291" w:lineRule="auto"/>
        <w:tabs>
          <w:tab w:leader="none" w:pos="648"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employment related dishonesty, fraud, misconduct or disclosure or misuse of confidential information, or other employment related conduct that is likely to cause significant injury to the Company, an Affiliate, or any of their respective employees, officers or directors (including, without limitation, commission of a felony or similar offense), in each case as determined by the Administrator. “Cause” shall not require that a civil judgment or criminal conviction have been entered against or guilty plea shall have been made by the Awardee regarding any of the matters referred to in the previous sentence. Accordingly, the Administrator shall be entitled to determine “Cause” based on the Administrator’s good faith belief. If the Awardee is criminally charged with a felony or similar offense that shall be a sufficient, but not a necessary, basis for such belief.</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any transaction or event that the Board specifies as a Change in Control under Section 10.4.</w:t>
      </w:r>
    </w:p>
    <w:p>
      <w:pPr>
        <w:spacing w:after="0" w:line="76" w:lineRule="exact"/>
        <w:rPr>
          <w:rFonts w:ascii="Arial" w:cs="Arial" w:eastAsia="Arial" w:hAnsi="Arial"/>
          <w:sz w:val="18"/>
          <w:szCs w:val="18"/>
          <w:color w:val="auto"/>
        </w:rPr>
      </w:pPr>
    </w:p>
    <w:p>
      <w:pPr>
        <w:ind w:left="660" w:hanging="217"/>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w:t>
      </w:r>
    </w:p>
    <w:p>
      <w:pPr>
        <w:spacing w:after="0" w:line="76" w:lineRule="exact"/>
        <w:rPr>
          <w:rFonts w:ascii="Arial" w:cs="Arial" w:eastAsia="Arial" w:hAnsi="Arial"/>
          <w:sz w:val="18"/>
          <w:szCs w:val="18"/>
          <w:color w:val="auto"/>
        </w:rPr>
      </w:pPr>
    </w:p>
    <w:p>
      <w:pPr>
        <w:ind w:left="740" w:hanging="297"/>
        <w:spacing w:after="0"/>
        <w:tabs>
          <w:tab w:leader="none" w:pos="7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a committee composed of Company Directors appointed in accordance with the Company’s charter documents and Section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4.</w:t>
      </w:r>
    </w:p>
    <w:p>
      <w:pPr>
        <w:spacing w:after="0" w:line="70" w:lineRule="exact"/>
        <w:rPr>
          <w:rFonts w:ascii="Arial" w:cs="Arial" w:eastAsia="Arial" w:hAnsi="Arial"/>
          <w:sz w:val="15"/>
          <w:szCs w:val="15"/>
          <w:color w:val="auto"/>
        </w:rPr>
      </w:pPr>
    </w:p>
    <w:p>
      <w:pPr>
        <w:ind w:left="700" w:hanging="25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Corcept Therapeutics, Inc., a Delaware corporation.</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Director</w:t>
      </w:r>
      <w:r>
        <w:rPr>
          <w:rFonts w:ascii="Arial" w:cs="Arial" w:eastAsia="Arial" w:hAnsi="Arial"/>
          <w:sz w:val="18"/>
          <w:szCs w:val="18"/>
          <w:color w:val="auto"/>
        </w:rPr>
        <w:t>” means a member of the Board.</w:t>
      </w:r>
    </w:p>
    <w:p>
      <w:pPr>
        <w:spacing w:after="0" w:line="76" w:lineRule="exact"/>
        <w:rPr>
          <w:rFonts w:ascii="Arial" w:cs="Arial" w:eastAsia="Arial" w:hAnsi="Arial"/>
          <w:sz w:val="18"/>
          <w:szCs w:val="18"/>
          <w:color w:val="auto"/>
        </w:rPr>
      </w:pPr>
    </w:p>
    <w:p>
      <w:pPr>
        <w:ind w:right="400" w:firstLine="443"/>
        <w:spacing w:after="0" w:line="268"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 individual who, or an employee of any entity that, provides bona fide services to the Company or an Affiliate not in connection with the offer or sale of securities in a capital-raising transaction, but who is not an Employee.</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of Directors of the Company or an Affiliate.</w:t>
      </w:r>
    </w:p>
    <w:p>
      <w:pPr>
        <w:spacing w:after="0" w:line="76" w:lineRule="exact"/>
        <w:rPr>
          <w:rFonts w:ascii="Arial" w:cs="Arial" w:eastAsia="Arial" w:hAnsi="Arial"/>
          <w:sz w:val="18"/>
          <w:szCs w:val="18"/>
          <w:color w:val="auto"/>
        </w:rPr>
      </w:pPr>
    </w:p>
    <w:p>
      <w:pPr>
        <w:ind w:left="660" w:hanging="217"/>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Divestiture</w:t>
      </w:r>
      <w:r>
        <w:rPr>
          <w:rFonts w:ascii="Arial" w:cs="Arial" w:eastAsia="Arial" w:hAnsi="Arial"/>
          <w:sz w:val="18"/>
          <w:szCs w:val="18"/>
          <w:color w:val="auto"/>
        </w:rPr>
        <w:t>” means any transaction or event that the Board specifies as a Divestiture under Section 10.5.</w:t>
      </w:r>
    </w:p>
    <w:p>
      <w:pPr>
        <w:spacing w:after="0" w:line="76" w:lineRule="exact"/>
        <w:rPr>
          <w:rFonts w:ascii="Arial" w:cs="Arial" w:eastAsia="Arial" w:hAnsi="Arial"/>
          <w:sz w:val="18"/>
          <w:szCs w:val="18"/>
          <w:color w:val="auto"/>
        </w:rPr>
      </w:pPr>
    </w:p>
    <w:p>
      <w:pPr>
        <w:ind w:right="80" w:firstLine="443"/>
        <w:spacing w:after="0" w:line="268" w:lineRule="auto"/>
        <w:tabs>
          <w:tab w:leader="none" w:pos="6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Relations Order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“domestic relations order” as defined in, and otherwise meeting the requirements of, Section 414(p) of the Code, except that reference to a “plan” in that definition shall be to this Plan.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107" w:name="page108"/>
    <w:bookmarkEnd w:id="107"/>
    <w:p>
      <w:pPr>
        <w:ind w:firstLine="443"/>
        <w:spacing w:after="0" w:line="268"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of the sale by the Company of shares of its capital stock in an initial public offering pursuant to a registration statement on Form S-1 filed with the SEC.</w:t>
      </w:r>
    </w:p>
    <w:p>
      <w:pPr>
        <w:spacing w:after="0" w:line="37" w:lineRule="exact"/>
        <w:rPr>
          <w:rFonts w:ascii="Arial" w:cs="Arial" w:eastAsia="Arial" w:hAnsi="Arial"/>
          <w:sz w:val="18"/>
          <w:szCs w:val="18"/>
          <w:color w:val="auto"/>
        </w:rPr>
      </w:pPr>
    </w:p>
    <w:p>
      <w:pPr>
        <w:ind w:right="300" w:firstLine="443"/>
        <w:spacing w:after="0" w:line="290" w:lineRule="auto"/>
        <w:tabs>
          <w:tab w:leader="none" w:pos="687"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 regular employee of the Company or an Affiliate, including an officer or Director, who is treated as an employee in the personnel records of the Company or an Affiliate, but not individuals who are classified by the Company or an Affiliate as: (i) leased from or otherwise employed by a third party, (ii) independent contractors, or (iii) intermittent or temporary workers. The Company’s or an Affiliate’s classification of an individual as an “Employee” (or as not an “Employee”) for purposes of this Plan shall not be altered retroactively even if that classification is changed retroactively for another purpose as a result of an audit, litigation or otherwise. An Awardee shall not cease to be an Employee due to transfers between locations of the Company, or between the Company and an Affiliate, or to any successor to the Company or an Affiliate that assumes the Awardee’s Options under Section 10. Neither service as a Director nor receipt of a director’s fee shall be sufficient to make a Director an “Employee.”</w:t>
      </w:r>
    </w:p>
    <w:p>
      <w:pPr>
        <w:spacing w:after="0" w:line="23" w:lineRule="exact"/>
        <w:rPr>
          <w:rFonts w:ascii="Arial" w:cs="Arial" w:eastAsia="Arial" w:hAnsi="Arial"/>
          <w:sz w:val="16"/>
          <w:szCs w:val="16"/>
          <w:color w:val="auto"/>
        </w:rPr>
      </w:pPr>
    </w:p>
    <w:p>
      <w:pPr>
        <w:ind w:left="700" w:hanging="25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w:t>
      </w:r>
    </w:p>
    <w:p>
      <w:pPr>
        <w:spacing w:after="0" w:line="76" w:lineRule="exact"/>
        <w:rPr>
          <w:rFonts w:ascii="Arial" w:cs="Arial" w:eastAsia="Arial" w:hAnsi="Arial"/>
          <w:sz w:val="18"/>
          <w:szCs w:val="18"/>
          <w:color w:val="auto"/>
        </w:rPr>
      </w:pPr>
    </w:p>
    <w:p>
      <w:pPr>
        <w:ind w:right="120" w:firstLine="443"/>
        <w:spacing w:after="0" w:line="255" w:lineRule="auto"/>
        <w:tabs>
          <w:tab w:leader="none" w:pos="72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means, if the Company has any class of any equity security registered under Section 12 of the Exchange Act, an individual who is subject to Section 16 of the Exchange Act or who is a “covered employee” under Section 162(m) of the Code, in either case because of the individual’s relationship with the Company or an Affiliate. If the Company does not have any class of any equity security registered under Section 12 of the Exchange Act, “Executive” means any (i) Director, (ii) officer elected or appointed by the Board, or (iii) beneficial owner of more than 10% of any class of the Company’s equity securities.</w:t>
      </w:r>
    </w:p>
    <w:p>
      <w:pPr>
        <w:spacing w:after="0" w:line="48" w:lineRule="exact"/>
        <w:rPr>
          <w:rFonts w:ascii="Arial" w:cs="Arial" w:eastAsia="Arial" w:hAnsi="Arial"/>
          <w:sz w:val="18"/>
          <w:szCs w:val="18"/>
          <w:color w:val="auto"/>
        </w:rPr>
      </w:pPr>
    </w:p>
    <w:p>
      <w:pPr>
        <w:ind w:right="280" w:firstLine="443"/>
        <w:spacing w:after="0" w:line="259"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means, with respect to an Award, the date stated in the Award Agreement as the expiration date of the Award or, if no such date is stated in the Award Agreement, then the last day of the maximum exercise period for the Award, disregarding the effect of an Awardee’s Termination or any other event that would shorten that period.</w:t>
      </w:r>
    </w:p>
    <w:p>
      <w:pPr>
        <w:spacing w:after="0" w:line="45" w:lineRule="exact"/>
        <w:rPr>
          <w:rFonts w:ascii="Arial" w:cs="Arial" w:eastAsia="Arial" w:hAnsi="Arial"/>
          <w:sz w:val="18"/>
          <w:szCs w:val="18"/>
          <w:color w:val="auto"/>
        </w:rPr>
      </w:pPr>
    </w:p>
    <w:p>
      <w:pPr>
        <w:ind w:left="700" w:hanging="25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value of Shares as determined under Section 17.2.</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Transaction</w:t>
      </w:r>
      <w:r>
        <w:rPr>
          <w:rFonts w:ascii="Arial" w:cs="Arial" w:eastAsia="Arial" w:hAnsi="Arial"/>
          <w:sz w:val="18"/>
          <w:szCs w:val="18"/>
          <w:color w:val="auto"/>
        </w:rPr>
        <w:t>” means any transaction or event described in Section 10.3.</w:t>
      </w:r>
    </w:p>
    <w:p>
      <w:pPr>
        <w:spacing w:after="0" w:line="77" w:lineRule="exact"/>
        <w:rPr>
          <w:sz w:val="20"/>
          <w:szCs w:val="20"/>
          <w:color w:val="auto"/>
        </w:rPr>
      </w:pPr>
    </w:p>
    <w:p>
      <w:pPr>
        <w:ind w:right="180" w:firstLine="443"/>
        <w:spacing w:after="0" w:line="332" w:lineRule="auto"/>
        <w:tabs>
          <w:tab w:leader="none" w:pos="7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(i) a diminution in salary or bonus potential or (ii) requiring Awardee to work in a location (other than normal business travel) which is more than 50 miles from Awardee’s principal place of business before the change.</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08" w:name="page109"/>
    <w:bookmarkEnd w:id="108"/>
    <w:p>
      <w:pPr>
        <w:ind w:right="20" w:firstLine="443"/>
        <w:spacing w:after="0" w:line="347" w:lineRule="auto"/>
        <w:tabs>
          <w:tab w:leader="none" w:pos="775" w:val="left"/>
        </w:tabs>
        <w:numPr>
          <w:ilvl w:val="0"/>
          <w:numId w:val="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i w:val="1"/>
          <w:iCs w:val="1"/>
          <w:color w:val="auto"/>
        </w:rPr>
        <w:t>Grant Date</w:t>
      </w:r>
      <w:r>
        <w:rPr>
          <w:rFonts w:ascii="Arial" w:cs="Arial" w:eastAsia="Arial" w:hAnsi="Arial"/>
          <w:sz w:val="15"/>
          <w:szCs w:val="15"/>
          <w:color w:val="auto"/>
        </w:rPr>
        <w:t>” means the date the Administrator approves the grant of an Award. However, if the Administrator specifies that an Award’s Grant Date is a future date or the date on which a condition is satisfied, the Grant Date for such Award is that future date or the date that the condition is satisfied.</w:t>
      </w:r>
    </w:p>
    <w:p>
      <w:pPr>
        <w:ind w:right="100" w:firstLine="443"/>
        <w:spacing w:after="0" w:line="268" w:lineRule="auto"/>
        <w:tabs>
          <w:tab w:leader="none" w:pos="7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under Section 422 of the Code and designated as an Incentive Stock Option in the Award Agreement for that Option.</w:t>
      </w:r>
    </w:p>
    <w:p>
      <w:pPr>
        <w:spacing w:after="0" w:line="37" w:lineRule="exact"/>
        <w:rPr>
          <w:rFonts w:ascii="Arial" w:cs="Arial" w:eastAsia="Arial" w:hAnsi="Arial"/>
          <w:sz w:val="18"/>
          <w:szCs w:val="18"/>
          <w:color w:val="auto"/>
        </w:rPr>
      </w:pPr>
    </w:p>
    <w:p>
      <w:pPr>
        <w:ind w:left="780" w:hanging="337"/>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Involuntary Termination</w:t>
      </w:r>
      <w:r>
        <w:rPr>
          <w:rFonts w:ascii="Arial" w:cs="Arial" w:eastAsia="Arial" w:hAnsi="Arial"/>
          <w:sz w:val="16"/>
          <w:szCs w:val="16"/>
          <w:color w:val="auto"/>
        </w:rPr>
        <w:t>” means termination by the Company without Cause or termination by the Awardee for Good Reason.</w:t>
      </w:r>
    </w:p>
    <w:p>
      <w:pPr>
        <w:spacing w:after="0" w:line="99" w:lineRule="exact"/>
        <w:rPr>
          <w:rFonts w:ascii="Arial" w:cs="Arial" w:eastAsia="Arial" w:hAnsi="Arial"/>
          <w:sz w:val="16"/>
          <w:szCs w:val="16"/>
          <w:color w:val="auto"/>
        </w:rPr>
      </w:pPr>
    </w:p>
    <w:p>
      <w:pPr>
        <w:ind w:left="760" w:hanging="317"/>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Optio</w:t>
      </w:r>
      <w:r>
        <w:rPr>
          <w:rFonts w:ascii="Arial" w:cs="Arial" w:eastAsia="Arial" w:hAnsi="Arial"/>
          <w:sz w:val="16"/>
          <w:szCs w:val="16"/>
          <w:color w:val="auto"/>
        </w:rPr>
        <w:t>n” means any Option other than an Incentive Stock Option.</w:t>
      </w:r>
    </w:p>
    <w:p>
      <w:pPr>
        <w:spacing w:after="0" w:line="99" w:lineRule="exact"/>
        <w:rPr>
          <w:rFonts w:ascii="Arial" w:cs="Arial" w:eastAsia="Arial" w:hAnsi="Arial"/>
          <w:sz w:val="16"/>
          <w:szCs w:val="16"/>
          <w:color w:val="auto"/>
        </w:rPr>
      </w:pPr>
    </w:p>
    <w:p>
      <w:pPr>
        <w:ind w:firstLine="443"/>
        <w:spacing w:after="0" w:line="290" w:lineRule="auto"/>
        <w:tabs>
          <w:tab w:leader="none" w:pos="713"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Objectively Determinable Performance Condition</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performance condition (i) that is established (A) at the time an Award is granted or (B) no later than the earlier of (1) 90 days after the beginning of the period of service to which it relates, or (2) before the elapse of 25% of the period of service to which it relates, (ii) that is uncertain of achievement at the time it is established, and (iii) the achievement of which is determinable by a third party with knowledge of the relevant facts. Examples of measures that may be used in Objectively Determinable Performance Conditions include net order dollars, net profit dollars, net profit growth, net revenue dollars, revenue growth, individual performance, earnings per share, return on assets, return on equity, and other financial objectives, objective customer satisfaction indicators and efficiency measures, each with respect to the Company and/or an Affiliate or individual business unit.</w:t>
      </w:r>
    </w:p>
    <w:p>
      <w:pPr>
        <w:spacing w:after="0" w:line="23" w:lineRule="exact"/>
        <w:rPr>
          <w:rFonts w:ascii="Arial" w:cs="Arial" w:eastAsia="Arial" w:hAnsi="Arial"/>
          <w:sz w:val="16"/>
          <w:szCs w:val="16"/>
          <w:color w:val="auto"/>
        </w:rPr>
      </w:pPr>
    </w:p>
    <w:p>
      <w:pPr>
        <w:ind w:left="780" w:hanging="337"/>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 officer of the Company as defined in Rule 16a-1 adopted under the Exchange Act.</w:t>
      </w:r>
    </w:p>
    <w:p>
      <w:pPr>
        <w:spacing w:after="0" w:line="76" w:lineRule="exact"/>
        <w:rPr>
          <w:rFonts w:ascii="Arial" w:cs="Arial" w:eastAsia="Arial" w:hAnsi="Arial"/>
          <w:sz w:val="18"/>
          <w:szCs w:val="18"/>
          <w:color w:val="auto"/>
        </w:rPr>
      </w:pPr>
    </w:p>
    <w:p>
      <w:pPr>
        <w:ind w:left="780" w:hanging="337"/>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Shares of the Company granted under this Plan.</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means the price payable under an Option for Shares, not including any amount payable in respect of withholding or other taxes.</w:t>
      </w:r>
    </w:p>
    <w:p>
      <w:pPr>
        <w:spacing w:after="0" w:line="99" w:lineRule="exact"/>
        <w:rPr>
          <w:rFonts w:ascii="Arial" w:cs="Arial" w:eastAsia="Arial" w:hAnsi="Arial"/>
          <w:sz w:val="16"/>
          <w:szCs w:val="16"/>
          <w:color w:val="auto"/>
        </w:rPr>
      </w:pPr>
    </w:p>
    <w:p>
      <w:pPr>
        <w:ind w:left="700" w:hanging="257"/>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Shares</w:t>
      </w:r>
      <w:r>
        <w:rPr>
          <w:rFonts w:ascii="Arial" w:cs="Arial" w:eastAsia="Arial" w:hAnsi="Arial"/>
          <w:sz w:val="18"/>
          <w:szCs w:val="18"/>
          <w:color w:val="auto"/>
        </w:rPr>
        <w:t>” means Shares covered by an outstanding Option or purchased under an Option.</w:t>
      </w:r>
    </w:p>
    <w:p>
      <w:pPr>
        <w:spacing w:after="0" w:line="76" w:lineRule="exact"/>
        <w:rPr>
          <w:rFonts w:ascii="Arial" w:cs="Arial" w:eastAsia="Arial" w:hAnsi="Arial"/>
          <w:sz w:val="18"/>
          <w:szCs w:val="18"/>
          <w:color w:val="auto"/>
        </w:rPr>
      </w:pPr>
    </w:p>
    <w:p>
      <w:pPr>
        <w:ind w:left="780" w:hanging="337"/>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2004 Equity Incentive Plan of Corcept Therapeutics, Inc.</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Plans</w:t>
      </w:r>
      <w:r>
        <w:rPr>
          <w:rFonts w:ascii="Arial" w:cs="Arial" w:eastAsia="Arial" w:hAnsi="Arial"/>
          <w:sz w:val="18"/>
          <w:szCs w:val="18"/>
          <w:color w:val="auto"/>
        </w:rPr>
        <w:t>” means the Company’s 2000 Stock Option Plan.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09" w:name="page110"/>
    <w:bookmarkEnd w:id="109"/>
    <w:p>
      <w:pPr>
        <w:ind w:left="880" w:hanging="437"/>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payable under a Stock Award for Shares, not including any amount payable in respect of withholding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taxes.</w:t>
      </w:r>
    </w:p>
    <w:p>
      <w:pPr>
        <w:spacing w:after="0" w:line="70" w:lineRule="exact"/>
        <w:rPr>
          <w:rFonts w:ascii="Arial" w:cs="Arial" w:eastAsia="Arial" w:hAnsi="Arial"/>
          <w:sz w:val="16"/>
          <w:szCs w:val="16"/>
          <w:color w:val="auto"/>
        </w:rPr>
      </w:pPr>
    </w:p>
    <w:p>
      <w:pPr>
        <w:ind w:left="780" w:hanging="337"/>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adopted under Section 16(b) of the Exchange Act.</w:t>
      </w:r>
    </w:p>
    <w:p>
      <w:pPr>
        <w:spacing w:after="0" w:line="76" w:lineRule="exact"/>
        <w:rPr>
          <w:rFonts w:ascii="Arial" w:cs="Arial" w:eastAsia="Arial" w:hAnsi="Arial"/>
          <w:sz w:val="18"/>
          <w:szCs w:val="18"/>
          <w:color w:val="auto"/>
        </w:rPr>
      </w:pPr>
    </w:p>
    <w:p>
      <w:pPr>
        <w:ind w:right="380" w:firstLine="443"/>
        <w:spacing w:after="0" w:line="268" w:lineRule="auto"/>
        <w:tabs>
          <w:tab w:leader="none" w:pos="7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or “Stock Appreciation Righ</w:t>
      </w:r>
      <w:r>
        <w:rPr>
          <w:rFonts w:ascii="Arial" w:cs="Arial" w:eastAsia="Arial" w:hAnsi="Arial"/>
          <w:sz w:val="18"/>
          <w:szCs w:val="18"/>
          <w:color w:val="auto"/>
        </w:rPr>
        <w:t>t” means a right to receive cash and/or Shares based on a change in the Fair Market Value of a specific number of Shares pursuant to an Award Agreement, as described in Section 8.1.</w:t>
      </w:r>
    </w:p>
    <w:p>
      <w:pPr>
        <w:spacing w:after="0" w:line="37" w:lineRule="exact"/>
        <w:rPr>
          <w:rFonts w:ascii="Arial" w:cs="Arial" w:eastAsia="Arial" w:hAnsi="Arial"/>
          <w:sz w:val="18"/>
          <w:szCs w:val="18"/>
          <w:color w:val="auto"/>
        </w:rPr>
      </w:pPr>
    </w:p>
    <w:p>
      <w:pPr>
        <w:ind w:left="780" w:hanging="337"/>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w:t>
      </w:r>
    </w:p>
    <w:p>
      <w:pPr>
        <w:spacing w:after="0" w:line="76" w:lineRule="exact"/>
        <w:rPr>
          <w:rFonts w:ascii="Arial" w:cs="Arial" w:eastAsia="Arial" w:hAnsi="Arial"/>
          <w:sz w:val="18"/>
          <w:szCs w:val="18"/>
          <w:color w:val="auto"/>
        </w:rPr>
      </w:pPr>
    </w:p>
    <w:p>
      <w:pPr>
        <w:ind w:left="780" w:hanging="337"/>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means a share of the common stock of the Company or other securities substituted for the common stock under Section 10.</w:t>
      </w:r>
    </w:p>
    <w:p>
      <w:pPr>
        <w:spacing w:after="0" w:line="99" w:lineRule="exact"/>
        <w:rPr>
          <w:rFonts w:ascii="Arial" w:cs="Arial" w:eastAsia="Arial" w:hAnsi="Arial"/>
          <w:sz w:val="16"/>
          <w:szCs w:val="16"/>
          <w:color w:val="auto"/>
        </w:rPr>
      </w:pPr>
    </w:p>
    <w:p>
      <w:pPr>
        <w:ind w:right="380" w:firstLine="443"/>
        <w:spacing w:after="0" w:line="325" w:lineRule="auto"/>
        <w:tabs>
          <w:tab w:leader="none" w:pos="716"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w:t>
      </w:r>
      <w:r>
        <w:rPr>
          <w:rFonts w:ascii="Arial" w:cs="Arial" w:eastAsia="Arial" w:hAnsi="Arial"/>
          <w:sz w:val="16"/>
          <w:szCs w:val="16"/>
          <w:color w:val="auto"/>
        </w:rPr>
        <w:t>” means an offer by the Company to sell shares subject to certain restrictions pursuant to the Award Agreement as described in Section 8.2 or, as determined by the Committee, a notional account representing the right to be paid an amount based on Shares.</w:t>
      </w:r>
    </w:p>
    <w:p>
      <w:pPr>
        <w:spacing w:after="0" w:line="1" w:lineRule="exact"/>
        <w:rPr>
          <w:rFonts w:ascii="Arial" w:cs="Arial" w:eastAsia="Arial" w:hAnsi="Arial"/>
          <w:sz w:val="16"/>
          <w:szCs w:val="16"/>
          <w:color w:val="auto"/>
        </w:rPr>
      </w:pPr>
    </w:p>
    <w:p>
      <w:pPr>
        <w:ind w:left="740" w:hanging="297"/>
        <w:spacing w:after="0"/>
        <w:tabs>
          <w:tab w:leader="none" w:pos="7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w:t>
      </w:r>
      <w:r>
        <w:rPr>
          <w:rFonts w:ascii="Arial" w:cs="Arial" w:eastAsia="Arial" w:hAnsi="Arial"/>
          <w:sz w:val="16"/>
          <w:szCs w:val="16"/>
          <w:color w:val="auto"/>
        </w:rPr>
        <w:t>” means a Substitute Option, Substitute SAR or Substitute Stock Award granted in accordance with the terms of this Plan.</w:t>
      </w:r>
    </w:p>
    <w:p>
      <w:pPr>
        <w:spacing w:after="0" w:line="99" w:lineRule="exact"/>
        <w:rPr>
          <w:rFonts w:ascii="Arial" w:cs="Arial" w:eastAsia="Arial" w:hAnsi="Arial"/>
          <w:sz w:val="16"/>
          <w:szCs w:val="16"/>
          <w:color w:val="auto"/>
        </w:rPr>
      </w:pPr>
    </w:p>
    <w:p>
      <w:pPr>
        <w:ind w:right="460" w:firstLine="443"/>
        <w:spacing w:after="0" w:line="268" w:lineRule="auto"/>
        <w:tabs>
          <w:tab w:leader="none" w:pos="6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Option</w:t>
      </w:r>
      <w:r>
        <w:rPr>
          <w:rFonts w:ascii="Arial" w:cs="Arial" w:eastAsia="Arial" w:hAnsi="Arial"/>
          <w:sz w:val="18"/>
          <w:szCs w:val="18"/>
          <w:color w:val="auto"/>
        </w:rPr>
        <w:t>” means an Option granted in substitution for, or upon the conversion of, an option granted by another entity to purchase equity securities in the granting entity.</w:t>
      </w:r>
    </w:p>
    <w:p>
      <w:pPr>
        <w:spacing w:after="0" w:line="37" w:lineRule="exact"/>
        <w:rPr>
          <w:rFonts w:ascii="Arial" w:cs="Arial" w:eastAsia="Arial" w:hAnsi="Arial"/>
          <w:sz w:val="18"/>
          <w:szCs w:val="18"/>
          <w:color w:val="auto"/>
        </w:rPr>
      </w:pPr>
    </w:p>
    <w:p>
      <w:pPr>
        <w:ind w:right="160" w:firstLine="443"/>
        <w:spacing w:after="0" w:line="268" w:lineRule="auto"/>
        <w:tabs>
          <w:tab w:leader="none" w:pos="7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SAR</w:t>
      </w:r>
      <w:r>
        <w:rPr>
          <w:rFonts w:ascii="Arial" w:cs="Arial" w:eastAsia="Arial" w:hAnsi="Arial"/>
          <w:sz w:val="18"/>
          <w:szCs w:val="18"/>
          <w:color w:val="auto"/>
        </w:rPr>
        <w:t>” means a SAR granted in substitution for, or upon the conversion of, a stock appreciation right granted by another entity with respect to equity securities in the granting entity.</w:t>
      </w:r>
    </w:p>
    <w:p>
      <w:pPr>
        <w:spacing w:after="0" w:line="37" w:lineRule="exact"/>
        <w:rPr>
          <w:rFonts w:ascii="Arial" w:cs="Arial" w:eastAsia="Arial" w:hAnsi="Arial"/>
          <w:sz w:val="18"/>
          <w:szCs w:val="18"/>
          <w:color w:val="auto"/>
        </w:rPr>
      </w:pPr>
    </w:p>
    <w:p>
      <w:pPr>
        <w:ind w:firstLine="443"/>
        <w:spacing w:after="0" w:line="268" w:lineRule="auto"/>
        <w:tabs>
          <w:tab w:leader="none" w:pos="7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Stock Award</w:t>
      </w:r>
      <w:r>
        <w:rPr>
          <w:rFonts w:ascii="Arial" w:cs="Arial" w:eastAsia="Arial" w:hAnsi="Arial"/>
          <w:sz w:val="18"/>
          <w:szCs w:val="18"/>
          <w:color w:val="auto"/>
        </w:rPr>
        <w:t>” means a Stock Award granted in substitution for, or upon the conversion of, a stock award granted by another entity to purchase equity securities in the granting entity.</w:t>
      </w:r>
    </w:p>
    <w:p>
      <w:pPr>
        <w:spacing w:after="0" w:line="37" w:lineRule="exact"/>
        <w:rPr>
          <w:rFonts w:ascii="Arial" w:cs="Arial" w:eastAsia="Arial" w:hAnsi="Arial"/>
          <w:sz w:val="18"/>
          <w:szCs w:val="18"/>
          <w:color w:val="auto"/>
        </w:rPr>
      </w:pPr>
    </w:p>
    <w:p>
      <w:pPr>
        <w:ind w:right="120" w:firstLine="443"/>
        <w:spacing w:after="0" w:line="256" w:lineRule="auto"/>
        <w:tabs>
          <w:tab w:leader="none" w:pos="8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means that the Awardee has ceased to be, with or without any cause or reason, an Employee, Director or Consultant. However, unless so determined by the Administrator, or otherwise provided in this Plan, “Termination” shall not include a change in status from an Employee, Consultant or Director to another such status. An event that causes an Affiliate to cease being an Affiliate shall be treated as the “Termination” of that Affiliate’s Employees, Directors, and Consultants.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10" w:name="page111"/>
    <w:bookmarkEnd w:id="110"/>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8"/>
          <w:szCs w:val="18"/>
          <w:b w:val="1"/>
          <w:bCs w:val="1"/>
          <w:color w:val="auto"/>
        </w:rPr>
        <w:t>Rules of Interpretation</w:t>
      </w:r>
      <w:r>
        <w:rPr>
          <w:rFonts w:ascii="Arial" w:cs="Arial" w:eastAsia="Arial" w:hAnsi="Arial"/>
          <w:sz w:val="18"/>
          <w:szCs w:val="18"/>
          <w:color w:val="auto"/>
        </w:rPr>
        <w:t>. Any reference to a “Section,” without more, is to a Section of this Plan. Captions and titles are used for convenience in this Plan and shall not, by themselves, determine the meaning of this Plan. Except when otherwise indicated by the context, the singular includes the plural and vice versa. Any reference to a statute is also a reference to the applicable rules and regulations adopted under that statute. Any reference to a statute, rule or regulation, or to a section of a statute, rule or regulation, is a reference to that statute, rule, regulation, or section as amended from time to time, both before and after the Effective Date and including any successor provisions.</w:t>
      </w:r>
    </w:p>
    <w:p>
      <w:pPr>
        <w:spacing w:after="0" w:line="12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Shares Subject to this Plan; Term of this Plan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Number of Award Shares.</w:t>
      </w:r>
      <w:r>
        <w:rPr>
          <w:rFonts w:ascii="Arial" w:cs="Arial" w:eastAsia="Arial" w:hAnsi="Arial"/>
          <w:sz w:val="16"/>
          <w:szCs w:val="16"/>
          <w:color w:val="auto"/>
        </w:rPr>
        <w:t xml:space="preserve"> The Shares issuable under this Plan shall be authorized but unissued or reacquired Shares, including Shares repurchased by the Company on the open market. The number of Sharesinitially reserved for issuance over the term of this Plan shall be 3,000,000. The maximum number of Shares shall be cumulatively increased on the first January 1 after the Effective Date and each January 1 thereafter for 9 more years, by a number of Shares equal to the least of (a) 2% of the number of Shares issued and outstanding on the immediately preceding December 31, (b) 1,000,000 Shares and (c) a number of Shares set by the Board. When an Award is granted, the maximum number of Shares that may be issued under this Plan shall be reduced by the number of Shares covered by that Award. However, if an Award later terminates or expires without having been exercised in full, the maximum number of shares that may be issued under this Plan shall be increased by the number of Shares that were covered by, but not purchased under, that Award. By contrast, the repurchase of Shares by the Company shall not increase the maximum number of Shares that may be issued under this Plan.</w:t>
      </w:r>
    </w:p>
    <w:p>
      <w:pPr>
        <w:spacing w:after="0" w:line="1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Source of Shares</w:t>
      </w:r>
      <w:r>
        <w:rPr>
          <w:rFonts w:ascii="Arial" w:cs="Arial" w:eastAsia="Arial" w:hAnsi="Arial"/>
          <w:sz w:val="18"/>
          <w:szCs w:val="18"/>
          <w:color w:val="auto"/>
        </w:rPr>
        <w:t>. Award Shares may be: (a) Shares that have never been issued, (b) Shares that have been issued but are no longer outstanding, or (c) Shares that are outstanding and are acquired to discharge the Company’s obligation to deliver Award Shares.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Term of this Plan</w:t>
      </w:r>
    </w:p>
    <w:p>
      <w:pPr>
        <w:spacing w:after="0" w:line="83" w:lineRule="exact"/>
        <w:rPr>
          <w:sz w:val="20"/>
          <w:szCs w:val="20"/>
          <w:color w:val="auto"/>
        </w:rPr>
      </w:pPr>
    </w:p>
    <w:p>
      <w:pPr>
        <w:ind w:left="460" w:right="380" w:firstLine="443"/>
        <w:spacing w:after="0" w:line="268"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Plan shall be effective on, and Awards may be granted under this Plan on and after, the earliest the date on which the Plan has been both adopted by the Board and approved by the Company’s stockholders.</w:t>
      </w:r>
    </w:p>
    <w:p>
      <w:pPr>
        <w:spacing w:after="0" w:line="37"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the provisions of Section 13, Awards may be granted under this Plan for a period of ten years from the earlier of the date on which the Board approves this Plan and the date the Company’s stockholders approve this Plan. Accordingly, Awards may not be granted under this Plan after the earlier of those 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1" w:name="page112"/>
    <w:bookmarkEnd w:id="111"/>
    <w:p>
      <w:pPr>
        <w:ind w:left="452" w:right="9820" w:hanging="452"/>
        <w:spacing w:after="0" w:line="373" w:lineRule="auto"/>
        <w:tabs>
          <w:tab w:leader="none" w:pos="441"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Administration </w:t>
      </w:r>
      <w:r>
        <w:rPr>
          <w:rFonts w:ascii="Arial" w:cs="Arial" w:eastAsia="Arial" w:hAnsi="Arial"/>
          <w:sz w:val="16"/>
          <w:szCs w:val="16"/>
          <w:color w:val="auto"/>
        </w:rPr>
        <w:t xml:space="preserve">4.1 </w:t>
      </w:r>
      <w:r>
        <w:rPr>
          <w:rFonts w:ascii="Arial" w:cs="Arial" w:eastAsia="Arial" w:hAnsi="Arial"/>
          <w:sz w:val="16"/>
          <w:szCs w:val="16"/>
          <w:b w:val="1"/>
          <w:bCs w:val="1"/>
          <w:color w:val="auto"/>
        </w:rPr>
        <w:t>General</w:t>
      </w:r>
    </w:p>
    <w:p>
      <w:pPr>
        <w:spacing w:after="0" w:line="1" w:lineRule="exact"/>
        <w:rPr>
          <w:rFonts w:ascii="Arial" w:cs="Arial" w:eastAsia="Arial" w:hAnsi="Arial"/>
          <w:sz w:val="16"/>
          <w:szCs w:val="16"/>
          <w:color w:val="auto"/>
        </w:rPr>
      </w:pPr>
    </w:p>
    <w:p>
      <w:pPr>
        <w:ind w:left="452" w:firstLine="443"/>
        <w:spacing w:after="0" w:line="289" w:lineRule="auto"/>
        <w:tabs>
          <w:tab w:leader="none" w:pos="1129"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Board shall have ultimate responsibility for administering this Plan. The Board may delegate certain of its responsibilities to a Committee, which shall consist of at least two members of the Board. The Board or the Committee may further delegate its responsibilities to any Employee of the Company or any Affiliate. Where this Plan specifies that an action is to be taken or a determination made by the Board, only the Board may take that action or make that determination. Where this Plan specifies that an action is to be taken or a determination made by the Committee, only the Committee may take that action or make that determination. Where this Plan references the “Administrator,” the action may be taken or determination made by the Board, the Committee, or other Administrator. However, only the Board or the Committee may approve grants of Awards to Executives, and an Administrator other than the Board or the Committee may grant Awards only within the guidelines established by the Board or Committee. Moreover, all actions and determinations by any Administrator are subject to the provisions of this Plan.</w:t>
      </w:r>
    </w:p>
    <w:p>
      <w:pPr>
        <w:spacing w:after="0" w:line="23" w:lineRule="exact"/>
        <w:rPr>
          <w:rFonts w:ascii="Arial" w:cs="Arial" w:eastAsia="Arial" w:hAnsi="Arial"/>
          <w:sz w:val="16"/>
          <w:szCs w:val="16"/>
          <w:color w:val="auto"/>
        </w:rPr>
      </w:pPr>
    </w:p>
    <w:p>
      <w:pPr>
        <w:ind w:left="452" w:right="160" w:firstLine="443"/>
        <w:spacing w:after="0" w:line="306" w:lineRule="auto"/>
        <w:tabs>
          <w:tab w:leader="none" w:pos="1139" w:val="left"/>
        </w:tabs>
        <w:numPr>
          <w:ilvl w:val="1"/>
          <w:numId w:val="66"/>
        </w:numPr>
        <w:rPr>
          <w:rFonts w:ascii="Arial" w:cs="Arial" w:eastAsia="Arial" w:hAnsi="Arial"/>
          <w:sz w:val="16"/>
          <w:szCs w:val="16"/>
          <w:color w:val="auto"/>
        </w:rPr>
      </w:pPr>
      <w:r>
        <w:rPr>
          <w:rFonts w:ascii="Arial" w:cs="Arial" w:eastAsia="Arial" w:hAnsi="Arial"/>
          <w:sz w:val="16"/>
          <w:szCs w:val="16"/>
          <w:color w:val="auto"/>
        </w:rPr>
        <w:t>So long as the Company has registered and outstanding a class of equity securities under Section 12 of the Exchange Act, the Committee shall consist of Company Directors who are “Non-Employee Directors” as defined in Rule 16b-3 and, after the expiration of any transition period permitted by Treasury Regulations Section 1.162-27(h)(3), who are “outside directors” as defined in Section 162(m) of the Code.</w:t>
      </w:r>
    </w:p>
    <w:p>
      <w:pPr>
        <w:spacing w:after="0" w:line="8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Authority of the Board or the Committee.</w:t>
      </w:r>
      <w:r>
        <w:rPr>
          <w:rFonts w:ascii="Arial" w:cs="Arial" w:eastAsia="Arial" w:hAnsi="Arial"/>
          <w:sz w:val="16"/>
          <w:szCs w:val="16"/>
          <w:color w:val="auto"/>
        </w:rPr>
        <w:t xml:space="preserve"> Subject to the other provisions of this Plan, the Board or the Committee shall have the authority to:</w:t>
      </w:r>
    </w:p>
    <w:p>
      <w:pPr>
        <w:spacing w:after="0" w:line="106" w:lineRule="exact"/>
        <w:rPr>
          <w:sz w:val="20"/>
          <w:szCs w:val="20"/>
          <w:color w:val="auto"/>
        </w:rPr>
      </w:pPr>
    </w:p>
    <w:p>
      <w:pPr>
        <w:ind w:left="1132" w:hanging="237"/>
        <w:spacing w:after="0"/>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 Awards, including Substitute Awards;</w:t>
      </w:r>
    </w:p>
    <w:p>
      <w:pPr>
        <w:spacing w:after="0" w:line="76" w:lineRule="exact"/>
        <w:rPr>
          <w:rFonts w:ascii="Arial" w:cs="Arial" w:eastAsia="Arial" w:hAnsi="Arial"/>
          <w:sz w:val="18"/>
          <w:szCs w:val="18"/>
          <w:color w:val="auto"/>
        </w:rPr>
      </w:pPr>
    </w:p>
    <w:p>
      <w:pPr>
        <w:ind w:left="1152" w:hanging="257"/>
        <w:spacing w:after="0"/>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Fair Market Value of Shares;</w:t>
      </w:r>
    </w:p>
    <w:p>
      <w:pPr>
        <w:spacing w:after="0" w:line="76" w:lineRule="exact"/>
        <w:rPr>
          <w:rFonts w:ascii="Arial" w:cs="Arial" w:eastAsia="Arial" w:hAnsi="Arial"/>
          <w:sz w:val="18"/>
          <w:szCs w:val="18"/>
          <w:color w:val="auto"/>
        </w:rPr>
      </w:pPr>
    </w:p>
    <w:p>
      <w:pPr>
        <w:ind w:left="1132" w:hanging="237"/>
        <w:spacing w:after="0"/>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Option Price and the Purchase Price of Awards;</w:t>
      </w:r>
    </w:p>
    <w:p>
      <w:pPr>
        <w:spacing w:after="0" w:line="76" w:lineRule="exact"/>
        <w:rPr>
          <w:rFonts w:ascii="Arial" w:cs="Arial" w:eastAsia="Arial" w:hAnsi="Arial"/>
          <w:sz w:val="18"/>
          <w:szCs w:val="18"/>
          <w:color w:val="auto"/>
        </w:rPr>
      </w:pPr>
    </w:p>
    <w:p>
      <w:pPr>
        <w:ind w:left="1152" w:hanging="257"/>
        <w:spacing w:after="0"/>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select the Awardees;</w:t>
      </w:r>
    </w:p>
    <w:p>
      <w:pPr>
        <w:spacing w:after="0" w:line="76" w:lineRule="exact"/>
        <w:rPr>
          <w:rFonts w:ascii="Arial" w:cs="Arial" w:eastAsia="Arial" w:hAnsi="Arial"/>
          <w:sz w:val="18"/>
          <w:szCs w:val="18"/>
          <w:color w:val="auto"/>
        </w:rPr>
      </w:pPr>
    </w:p>
    <w:p>
      <w:pPr>
        <w:ind w:left="1132" w:hanging="237"/>
        <w:spacing w:after="0"/>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times Awards are granted;</w:t>
      </w:r>
    </w:p>
    <w:p>
      <w:pPr>
        <w:spacing w:after="0" w:line="76" w:lineRule="exact"/>
        <w:rPr>
          <w:rFonts w:ascii="Arial" w:cs="Arial" w:eastAsia="Arial" w:hAnsi="Arial"/>
          <w:sz w:val="18"/>
          <w:szCs w:val="18"/>
          <w:color w:val="auto"/>
        </w:rPr>
      </w:pPr>
    </w:p>
    <w:p>
      <w:pPr>
        <w:ind w:left="1112" w:hanging="217"/>
        <w:spacing w:after="0"/>
        <w:tabs>
          <w:tab w:leader="none" w:pos="11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number of Shares subject to each Award;</w:t>
      </w:r>
    </w:p>
    <w:p>
      <w:pPr>
        <w:spacing w:after="0" w:line="76" w:lineRule="exact"/>
        <w:rPr>
          <w:rFonts w:ascii="Arial" w:cs="Arial" w:eastAsia="Arial" w:hAnsi="Arial"/>
          <w:sz w:val="18"/>
          <w:szCs w:val="18"/>
          <w:color w:val="auto"/>
        </w:rPr>
      </w:pPr>
    </w:p>
    <w:p>
      <w:pPr>
        <w:ind w:left="1152" w:hanging="257"/>
        <w:spacing w:after="0"/>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methods of payment that may be used to purchase Award Shares;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12" w:name="page113"/>
    <w:bookmarkEnd w:id="112"/>
    <w:p>
      <w:pPr>
        <w:ind w:left="700" w:hanging="257"/>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 the methods of payment that may be used to satisfy withholding tax obligations;</w:t>
      </w:r>
    </w:p>
    <w:p>
      <w:pPr>
        <w:spacing w:after="0" w:line="76" w:lineRule="exact"/>
        <w:rPr>
          <w:rFonts w:ascii="Arial" w:cs="Arial" w:eastAsia="Arial" w:hAnsi="Arial"/>
          <w:sz w:val="18"/>
          <w:szCs w:val="18"/>
          <w:color w:val="auto"/>
        </w:rPr>
      </w:pPr>
    </w:p>
    <w:p>
      <w:pPr>
        <w:ind w:right="320" w:firstLine="443"/>
        <w:spacing w:after="0" w:line="325" w:lineRule="auto"/>
        <w:tabs>
          <w:tab w:leader="none" w:pos="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determine the other terms of each Award, including but not limited to the time or times at which Awards may be exercised, whether and under what conditions an Award is assignable, and whether an Option is a Nonstatutory Option or an Incentive Stock Option;</w:t>
      </w:r>
    </w:p>
    <w:p>
      <w:pPr>
        <w:spacing w:after="0" w:line="1" w:lineRule="exact"/>
        <w:rPr>
          <w:rFonts w:ascii="Arial" w:cs="Arial" w:eastAsia="Arial" w:hAnsi="Arial"/>
          <w:sz w:val="16"/>
          <w:szCs w:val="16"/>
          <w:color w:val="auto"/>
        </w:rPr>
      </w:pPr>
    </w:p>
    <w:p>
      <w:pPr>
        <w:ind w:left="660" w:hanging="21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modify or amend any Award;</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authorize any person to sign any Award Agreement or other document related to this Plan on behalf of the Company;</w:t>
      </w:r>
    </w:p>
    <w:p>
      <w:pPr>
        <w:spacing w:after="0" w:line="76" w:lineRule="exact"/>
        <w:rPr>
          <w:rFonts w:ascii="Arial" w:cs="Arial" w:eastAsia="Arial" w:hAnsi="Arial"/>
          <w:sz w:val="18"/>
          <w:szCs w:val="18"/>
          <w:color w:val="auto"/>
        </w:rPr>
      </w:pPr>
    </w:p>
    <w:p>
      <w:pPr>
        <w:ind w:right="160" w:firstLine="443"/>
        <w:spacing w:after="0" w:line="268"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determine the form of any Award Agreement or other document related to this Plan, and whether that document, including signatures, may be in electronic form;</w:t>
      </w:r>
    </w:p>
    <w:p>
      <w:pPr>
        <w:spacing w:after="0" w:line="37" w:lineRule="exact"/>
        <w:rPr>
          <w:rFonts w:ascii="Arial" w:cs="Arial" w:eastAsia="Arial" w:hAnsi="Arial"/>
          <w:sz w:val="18"/>
          <w:szCs w:val="18"/>
          <w:color w:val="auto"/>
        </w:rPr>
      </w:pPr>
    </w:p>
    <w:p>
      <w:pPr>
        <w:ind w:left="740" w:hanging="297"/>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interpret this Plan and any Award Agreement or document related to this Plan;</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correct any defect, remedy any omission, or reconcile any inconsistency in this Plan, any Award Agreement or any other document related to this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70" w:lineRule="exact"/>
        <w:rPr>
          <w:rFonts w:ascii="Arial" w:cs="Arial" w:eastAsia="Arial" w:hAnsi="Arial"/>
          <w:sz w:val="15"/>
          <w:szCs w:val="15"/>
          <w:color w:val="auto"/>
        </w:rPr>
      </w:pPr>
    </w:p>
    <w:p>
      <w:pPr>
        <w:ind w:left="700" w:hanging="257"/>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adopt, amend, and revoke rules and regulations under this Plan, including rules and regulations relating to sub-plans and Plan addenda;</w:t>
      </w:r>
    </w:p>
    <w:p>
      <w:pPr>
        <w:spacing w:after="0" w:line="99" w:lineRule="exact"/>
        <w:rPr>
          <w:rFonts w:ascii="Arial" w:cs="Arial" w:eastAsia="Arial" w:hAnsi="Arial"/>
          <w:sz w:val="16"/>
          <w:szCs w:val="16"/>
          <w:color w:val="auto"/>
        </w:rPr>
      </w:pPr>
    </w:p>
    <w:p>
      <w:pPr>
        <w:ind w:firstLine="443"/>
        <w:spacing w:after="0" w:line="298" w:lineRule="auto"/>
        <w:tabs>
          <w:tab w:leader="none" w:pos="6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adopt, amend, and revoke special rules and procedures which may be inconsistent with the terms of this Plan, set forth (if the Administrator so chooses) in sub-plans regarding (for example) the operation and administration of this Plan and the terms of Awards, if and to the extent necessary or useful to accommodate non-U.S. Applicable Laws and practices as they apply to Awards and Award Shares held by, or granted or issued to, persons working or resident outside of the United States or employed by Affiliates incorporated outside the United States;</w:t>
      </w:r>
    </w:p>
    <w:p>
      <w:pPr>
        <w:spacing w:after="0" w:line="18" w:lineRule="exact"/>
        <w:rPr>
          <w:rFonts w:ascii="Arial" w:cs="Arial" w:eastAsia="Arial" w:hAnsi="Arial"/>
          <w:sz w:val="16"/>
          <w:szCs w:val="16"/>
          <w:color w:val="auto"/>
        </w:rPr>
      </w:pPr>
    </w:p>
    <w:p>
      <w:pPr>
        <w:ind w:left="700" w:hanging="257"/>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determine whether a transaction or event should be treated as a Change in Control, a Divestiture or neither;</w:t>
      </w:r>
    </w:p>
    <w:p>
      <w:pPr>
        <w:spacing w:after="0" w:line="76" w:lineRule="exact"/>
        <w:rPr>
          <w:rFonts w:ascii="Arial" w:cs="Arial" w:eastAsia="Arial" w:hAnsi="Arial"/>
          <w:sz w:val="18"/>
          <w:szCs w:val="18"/>
          <w:color w:val="auto"/>
        </w:rPr>
      </w:pPr>
    </w:p>
    <w:p>
      <w:pPr>
        <w:ind w:right="520" w:firstLine="443"/>
        <w:spacing w:after="0" w:line="268"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determine the effect of a Fundamental Transaction and, if the Board determines that a transaction or event should be treated as a Change in Control or a Divestiture, then the effect of that Change in Control or Divestiture; and</w:t>
      </w:r>
    </w:p>
    <w:p>
      <w:pPr>
        <w:spacing w:after="0" w:line="37" w:lineRule="exact"/>
        <w:rPr>
          <w:rFonts w:ascii="Arial" w:cs="Arial" w:eastAsia="Arial" w:hAnsi="Arial"/>
          <w:sz w:val="18"/>
          <w:szCs w:val="18"/>
          <w:color w:val="auto"/>
        </w:rPr>
      </w:pPr>
    </w:p>
    <w:p>
      <w:pPr>
        <w:ind w:left="680" w:hanging="237"/>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all other determinations the Administrator deems necessary or advisable for the administration of this Plan.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13" w:name="page114"/>
    <w:bookmarkEnd w:id="113"/>
    <w:p>
      <w:pPr>
        <w:ind w:right="6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6"/>
          <w:szCs w:val="16"/>
          <w:b w:val="1"/>
          <w:bCs w:val="1"/>
          <w:color w:val="auto"/>
        </w:rPr>
        <w:t>Scope of Discretion.</w:t>
      </w:r>
      <w:r>
        <w:rPr>
          <w:rFonts w:ascii="Arial" w:cs="Arial" w:eastAsia="Arial" w:hAnsi="Arial"/>
          <w:sz w:val="16"/>
          <w:szCs w:val="16"/>
          <w:color w:val="auto"/>
        </w:rPr>
        <w:t xml:space="preserve"> Subject to the provisions of this Section 4.3, on all matters for which this Plan confers the authority, right or power on the Board, the Committee, or other Administrator to make decisions, that body may make those decisions in its sole and absolute discretion. Those decisions will be final, binding and conclusive. In making its decisions, the Board, Committee or other Administrator need not treat all persons eligible to receive Awards, all Awardees, all Awards or all Award Shares the same way. Notwithstanding anything herein to the contrary, and except as provided in Section 13.3, the discretion of the Board, Committee or other Administrator is subject to the specific provisions and specific limitations of this Plan, as well as all rights conferred on specific Awardees by Award Agreements and other agreements.</w:t>
      </w:r>
    </w:p>
    <w:p>
      <w:pPr>
        <w:spacing w:after="0" w:line="9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Persons Eligible to Receive Awards</w:t>
      </w:r>
    </w:p>
    <w:p>
      <w:pPr>
        <w:spacing w:after="0" w:line="77"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Eligible Individuals.</w:t>
      </w:r>
      <w:r>
        <w:rPr>
          <w:rFonts w:ascii="Arial" w:cs="Arial" w:eastAsia="Arial" w:hAnsi="Arial"/>
          <w:sz w:val="18"/>
          <w:szCs w:val="18"/>
          <w:color w:val="auto"/>
        </w:rPr>
        <w:t xml:space="preserve"> Awards (including Substitute Awards) may be granted to, and only to, Employees, Directors and Consultants, including to prospective Employees, Directors and Consultants conditioned on the beginning of their service for the Company or an Affiliate. However, Incentive Stock Options may only be granted to Employees, as provided in Section 7(g).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Section 162(m) Limitation.</w:t>
      </w:r>
    </w:p>
    <w:p>
      <w:pPr>
        <w:spacing w:after="0" w:line="77" w:lineRule="exact"/>
        <w:rPr>
          <w:sz w:val="20"/>
          <w:szCs w:val="20"/>
          <w:color w:val="auto"/>
        </w:rPr>
      </w:pPr>
    </w:p>
    <w:p>
      <w:pPr>
        <w:ind w:left="460" w:firstLine="443"/>
        <w:spacing w:after="0" w:line="289" w:lineRule="auto"/>
        <w:tabs>
          <w:tab w:leader="none" w:pos="1137"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Options and SARs. </w:t>
      </w:r>
      <w:r>
        <w:rPr>
          <w:rFonts w:ascii="Arial" w:cs="Arial" w:eastAsia="Arial" w:hAnsi="Arial"/>
          <w:sz w:val="16"/>
          <w:szCs w:val="16"/>
          <w:color w:val="auto"/>
        </w:rPr>
        <w:t>Subject to the provisions of this Section 5.2, for so long as the Company is a “publicly held corporation” within the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of Section 162(m) of the Code: (i) no Employee may be granted one or more SARs and Options within any fiscal year of the Company under this Plan to purchase more than 2,000,000 Shares under Options or to receive compensation calculated with reference to more than that number of Shares under SARs, subject to adjustment pursuant to Section 10, (ii) Options and SARs may be granted to an Executive only by the Committee (and, notwithstanding anything to the contrary in Section 4.1(a), not by the Board). If an Option or SAR is cancelled without being exercised or of the Option Price of an Option is reduced, that cancelled or repriced Option or SAR shall continue to be counted against the limit on Awards that my be granted to any individual under this Section 5.2. Notwithstanding anything herein to the contrary, a new Employee of the Company or an Affiliate shall be eligible to receive up to a maximum of 2,500,000 Shares under Options in the calendar year which they commence employment, or such compensation calculated with reference to such number of Shares under SARs, subject to adjustment pursuant to Section 10.</w:t>
      </w:r>
    </w:p>
    <w:p>
      <w:pPr>
        <w:spacing w:after="0" w:line="18" w:lineRule="exact"/>
        <w:rPr>
          <w:rFonts w:ascii="Arial" w:cs="Arial" w:eastAsia="Arial" w:hAnsi="Arial"/>
          <w:sz w:val="16"/>
          <w:szCs w:val="16"/>
          <w:color w:val="auto"/>
        </w:rPr>
      </w:pPr>
    </w:p>
    <w:p>
      <w:pPr>
        <w:ind w:left="460" w:right="420" w:firstLine="443"/>
        <w:spacing w:after="0" w:line="339" w:lineRule="auto"/>
        <w:tabs>
          <w:tab w:leader="none" w:pos="1147"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 xml:space="preserve">Cash Awards and Stock Awards. </w:t>
      </w:r>
      <w:r>
        <w:rPr>
          <w:rFonts w:ascii="Arial" w:cs="Arial" w:eastAsia="Arial" w:hAnsi="Arial"/>
          <w:sz w:val="15"/>
          <w:szCs w:val="15"/>
          <w:color w:val="auto"/>
        </w:rPr>
        <w:t>Any Cash Award or Stock Award intended as “qualified performance-based compensation” within the</w:t>
      </w:r>
      <w:r>
        <w:rPr>
          <w:rFonts w:ascii="Arial" w:cs="Arial" w:eastAsia="Arial" w:hAnsi="Arial"/>
          <w:sz w:val="15"/>
          <w:szCs w:val="15"/>
          <w:b w:val="1"/>
          <w:bCs w:val="1"/>
          <w:color w:val="auto"/>
        </w:rPr>
        <w:t xml:space="preserve"> </w:t>
      </w:r>
      <w:r>
        <w:rPr>
          <w:rFonts w:ascii="Arial" w:cs="Arial" w:eastAsia="Arial" w:hAnsi="Arial"/>
          <w:sz w:val="15"/>
          <w:szCs w:val="15"/>
          <w:color w:val="auto"/>
        </w:rPr>
        <w:t>meaning of Section 162(m) of the Code must vest or become exercisable contingent on the achievement of one or more Objectively Determinable Performance Conditions. The Committee shall have the discretion to determine the time and manner of compliance with Section 162(m) of the Code.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14" w:name="page115"/>
    <w:bookmarkEnd w:id="114"/>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and Conditions of Options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rules apply to all Options:</w:t>
      </w:r>
    </w:p>
    <w:p>
      <w:pPr>
        <w:spacing w:after="0" w:line="15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Price.</w:t>
      </w:r>
      <w:r>
        <w:rPr>
          <w:rFonts w:ascii="Arial" w:cs="Arial" w:eastAsia="Arial" w:hAnsi="Arial"/>
          <w:sz w:val="16"/>
          <w:szCs w:val="16"/>
          <w:color w:val="auto"/>
        </w:rPr>
        <w:t xml:space="preserve"> Except as specifically provided herein, no nonstatutory Option may have an Option Price less than 85% of the Fair Market Value of the Shares on the Grant Date. No Option intended as “qualified incentive-based compensation” within the meaning of Section 162(m) of the Code may have an Option Price less than 100% of the Fair Market Value of the Shares on the Grant Date. In no event will the Option Price of any Option be less than the par value of the Shares issuable under the Option if that is required by Applicable Law. The Option Price of an Incentive Stock Option shall be subject to Section 7(f).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Term.</w:t>
      </w:r>
      <w:r>
        <w:rPr>
          <w:rFonts w:ascii="Arial" w:cs="Arial" w:eastAsia="Arial" w:hAnsi="Arial"/>
          <w:sz w:val="16"/>
          <w:szCs w:val="16"/>
          <w:color w:val="auto"/>
        </w:rPr>
        <w:t xml:space="preserve"> No Option shall be exercisable after its Expiration Date. No Option may have an Expiration Date that is more than ten years after its Grant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 regarding the term of Incentive Stock Options are provided in Sections 7(a) and 7(e).</w:t>
      </w:r>
    </w:p>
    <w:p>
      <w:pPr>
        <w:spacing w:after="0" w:line="14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Options shall be exercisable: (a) on the Grant Date, or (b) in accordance with a schedule related to the Grant Date, the date the Optionee’s directorship, employment or consultancy begins, or a different date specified in the Option Agreement. Additional provisions regarding the vesting of Incentive Stock Options are provided in Section 7(c). No Option granted to an individual who is subject to the overtime pay provisions of the Fair Labor Standards Act may be exercised before the expiration of six months after the Grant 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Form and Method of Payment.</w:t>
      </w:r>
    </w:p>
    <w:p>
      <w:pPr>
        <w:spacing w:after="0" w:line="83" w:lineRule="exact"/>
        <w:rPr>
          <w:sz w:val="20"/>
          <w:szCs w:val="20"/>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or Committee shall determine the acceptable form and method of payment for exercising an Option.</w:t>
      </w:r>
    </w:p>
    <w:p>
      <w:pPr>
        <w:spacing w:after="0" w:line="76"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Acceptable forms of payment for all Option Shares are cash, check or wire transfer, denominated in U.S. dollars except as specified by the Administrator for non-U.S. Employees or non-U.S. sub-plans.</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the Administrator may permit payment to be made by any of the following methods:</w:t>
      </w:r>
    </w:p>
    <w:p>
      <w:pPr>
        <w:spacing w:after="0" w:line="76" w:lineRule="exact"/>
        <w:rPr>
          <w:rFonts w:ascii="Arial" w:cs="Arial" w:eastAsia="Arial" w:hAnsi="Arial"/>
          <w:sz w:val="18"/>
          <w:szCs w:val="18"/>
          <w:color w:val="auto"/>
        </w:rPr>
      </w:pPr>
    </w:p>
    <w:p>
      <w:pPr>
        <w:ind w:left="920" w:right="40" w:firstLine="421"/>
        <w:spacing w:after="0" w:line="256" w:lineRule="auto"/>
        <w:tabs>
          <w:tab w:leader="none" w:pos="1549" w:val="left"/>
        </w:tabs>
        <w:numPr>
          <w:ilvl w:val="1"/>
          <w:numId w:val="72"/>
        </w:numPr>
        <w:rPr>
          <w:rFonts w:ascii="Arial" w:cs="Arial" w:eastAsia="Arial" w:hAnsi="Arial"/>
          <w:sz w:val="18"/>
          <w:szCs w:val="18"/>
          <w:color w:val="auto"/>
        </w:rPr>
      </w:pPr>
      <w:r>
        <w:rPr>
          <w:rFonts w:ascii="Arial" w:cs="Arial" w:eastAsia="Arial" w:hAnsi="Arial"/>
          <w:sz w:val="18"/>
          <w:szCs w:val="18"/>
          <w:color w:val="auto"/>
        </w:rPr>
        <w:t>other Shares, or the designation of other Shares, which (A) are “mature” shares for purposes of avoiding variable accounting treatment under generally accepted accounting principles (generally mature shares are those that have been owned by the Optionee for more than six months on the date of surrender), and (B) have a Fair Market Value on the date of surrender equal to the Option Price of the Shares as to which the Option is being exercised;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15" w:name="page116"/>
    <w:bookmarkEnd w:id="115"/>
    <w:p>
      <w:pPr>
        <w:ind w:left="920" w:firstLine="421"/>
        <w:spacing w:after="0" w:line="256" w:lineRule="auto"/>
        <w:tabs>
          <w:tab w:leader="none" w:pos="1598"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a public market exists for the Shares, consideration received by the Company under a procedure under which a licensed broker-dealer advances funds on behalf of an Optionee or sells Option Shares on behalf of an Optionee (a “</w:t>
      </w:r>
      <w:r>
        <w:rPr>
          <w:rFonts w:ascii="Arial" w:cs="Arial" w:eastAsia="Arial" w:hAnsi="Arial"/>
          <w:sz w:val="18"/>
          <w:szCs w:val="18"/>
          <w:b w:val="1"/>
          <w:bCs w:val="1"/>
          <w:i w:val="1"/>
          <w:iCs w:val="1"/>
          <w:color w:val="auto"/>
        </w:rPr>
        <w:t>Cashless Exercise Procedure</w:t>
      </w:r>
      <w:r>
        <w:rPr>
          <w:rFonts w:ascii="Arial" w:cs="Arial" w:eastAsia="Arial" w:hAnsi="Arial"/>
          <w:sz w:val="18"/>
          <w:szCs w:val="18"/>
          <w:color w:val="auto"/>
        </w:rPr>
        <w:t>”), provided that if the Company extends or arranges for the extension of credit to an Optionee under any Cashless Exercise Procedure, no Officer or Director may participate in that Cashless Exercise Procedure;</w:t>
      </w:r>
    </w:p>
    <w:p>
      <w:pPr>
        <w:spacing w:after="0" w:line="48"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1"/>
          <w:numId w:val="73"/>
        </w:numPr>
        <w:rPr>
          <w:rFonts w:ascii="Arial" w:cs="Arial" w:eastAsia="Arial" w:hAnsi="Arial"/>
          <w:sz w:val="18"/>
          <w:szCs w:val="18"/>
          <w:color w:val="auto"/>
        </w:rPr>
      </w:pPr>
      <w:r>
        <w:rPr>
          <w:rFonts w:ascii="Arial" w:cs="Arial" w:eastAsia="Arial" w:hAnsi="Arial"/>
          <w:sz w:val="18"/>
          <w:szCs w:val="18"/>
          <w:color w:val="auto"/>
        </w:rPr>
        <w:t>cancellation of any debt owed by the Company or any Affiliate to the Optionee by the Company including without limitation waiver of compensation due or accrued for services previously rendered to the Company; and</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combination of the methods of payment permitted by any paragraph of this Section 6.4.</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Administrator may also permit any other form or method of payment for Option Shares permitted by Applicable Law.</w:t>
      </w:r>
    </w:p>
    <w:p>
      <w:pPr>
        <w:spacing w:after="0" w:line="152" w:lineRule="exact"/>
        <w:rPr>
          <w:sz w:val="20"/>
          <w:szCs w:val="20"/>
          <w:color w:val="auto"/>
        </w:rPr>
      </w:pPr>
    </w:p>
    <w:p>
      <w:pPr>
        <w:ind w:right="60" w:firstLine="456"/>
        <w:spacing w:after="0" w:line="339"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b w:val="1"/>
          <w:bCs w:val="1"/>
          <w:color w:val="auto"/>
        </w:rPr>
        <w:t>Nonassignability of Options.</w:t>
      </w:r>
      <w:r>
        <w:rPr>
          <w:rFonts w:ascii="Arial" w:cs="Arial" w:eastAsia="Arial" w:hAnsi="Arial"/>
          <w:sz w:val="15"/>
          <w:szCs w:val="15"/>
          <w:color w:val="auto"/>
        </w:rPr>
        <w:t xml:space="preserve"> Except as determined by the Administrator, no Option shall be assignable or otherwise transferable by the Optionee except by will or by the laws of descent and distribution. However, Options may be transferred and exercised in accordance with a Domestic Relations Order and may be exercised by a guardian or conservator appointed to act for the Optionee. Incentive Stock Options may only be assigned in compliance with Section 7(h).</w:t>
      </w:r>
    </w:p>
    <w:p>
      <w:pPr>
        <w:spacing w:after="0" w:line="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Substitute Options.</w:t>
      </w:r>
      <w:r>
        <w:rPr>
          <w:rFonts w:ascii="Arial" w:cs="Arial" w:eastAsia="Arial" w:hAnsi="Arial"/>
          <w:sz w:val="18"/>
          <w:szCs w:val="18"/>
          <w:color w:val="auto"/>
        </w:rPr>
        <w:t xml:space="preserve"> The Board may cause the Company to grant Substitute Options in connection with the acquisition by the Company or an Affiliate of equity securities of any entity (including by merger, tender offer, or other similar transaction) or of all or a portion of the assets of any entity. Any such substitution shall be effective on the effective date of the acquisition. Substitute Options may be Nonstatutory Options or Incentive Stock Options. Unless and to the extent specified otherwise by the Board, Substitute Options shall have the same terms and conditions as the options they replace, except that (subject to the provisions of Section 10) Substitute Options shall be Options to purchase Shares rather than equity securities of the granting entity and shall have an Option Price determined by the Board.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Repricings.</w:t>
      </w:r>
      <w:r>
        <w:rPr>
          <w:rFonts w:ascii="Arial" w:cs="Arial" w:eastAsia="Arial" w:hAnsi="Arial"/>
          <w:sz w:val="18"/>
          <w:szCs w:val="18"/>
          <w:color w:val="auto"/>
        </w:rPr>
        <w:t xml:space="preserve"> Options may not be repriced, replaced or regranted through cancellation or modification without stockholder approval.</w:t>
      </w:r>
    </w:p>
    <w:p>
      <w:pPr>
        <w:spacing w:after="0" w:line="158"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Incentive Stock Options.</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following rules apply only to Incentive Stock Options and only to the extent these rules are more restrictive than the rules that would otherwise apply under this Plan. With the consent of the Optionee, or where this Plan provides that an action may be taken notwithstanding any other provision of this Plan, the Administrator may deviate from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this Section, notwithstanding that any Incentive Stock Option modified by the Administrator will thereafter be treated as a Nonstatutory Option.</w:t>
      </w:r>
    </w:p>
    <w:p>
      <w:pPr>
        <w:spacing w:after="0" w:line="100" w:lineRule="exact"/>
        <w:rPr>
          <w:sz w:val="20"/>
          <w:szCs w:val="20"/>
          <w:color w:val="auto"/>
        </w:rPr>
      </w:pPr>
    </w:p>
    <w:p>
      <w:pPr>
        <w:ind w:left="460" w:right="360" w:firstLine="443"/>
        <w:spacing w:after="0" w:line="268"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Expiration Date of an Incentive Stock Option shall not be later than ten years from its Grant Date, with the result that no Incentive Stock Option may be exercised after the expiration of ten years from its Grant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Incentive Stock Option may be granted more than ten years from the date this Plan was approved by the Board.</w:t>
      </w:r>
    </w:p>
    <w:p>
      <w:pPr>
        <w:spacing w:after="0" w:line="76" w:lineRule="exact"/>
        <w:rPr>
          <w:rFonts w:ascii="Arial" w:cs="Arial" w:eastAsia="Arial" w:hAnsi="Arial"/>
          <w:sz w:val="18"/>
          <w:szCs w:val="18"/>
          <w:color w:val="auto"/>
        </w:rPr>
      </w:pPr>
    </w:p>
    <w:p>
      <w:pPr>
        <w:ind w:left="460" w:firstLine="443"/>
        <w:spacing w:after="0" w:line="309" w:lineRule="auto"/>
        <w:tabs>
          <w:tab w:leader="none" w:pos="1137" w:val="left"/>
        </w:tabs>
        <w:numPr>
          <w:ilvl w:val="0"/>
          <w:numId w:val="76"/>
        </w:numPr>
        <w:rPr>
          <w:rFonts w:ascii="Arial" w:cs="Arial" w:eastAsia="Arial" w:hAnsi="Arial"/>
          <w:sz w:val="15"/>
          <w:szCs w:val="15"/>
          <w:color w:val="auto"/>
        </w:rPr>
      </w:pPr>
      <w:r>
        <w:rPr>
          <w:rFonts w:ascii="Arial" w:cs="Arial" w:eastAsia="Arial" w:hAnsi="Arial"/>
          <w:sz w:val="15"/>
          <w:szCs w:val="15"/>
          <w:color w:val="auto"/>
        </w:rPr>
        <w:t>Options intended to be incentive stock options under Section 422 of the Code that are granted to any single Optionee under all incentive stock option plans of the Company and its Affiliates, including incentive stock options granted under this Plan, may not vest at a rate of more than $100,000 in Fair Market Value of stock (measured on the grant dates of the options) during any calendar year. For this purpose, an option vests with respect to a given share of stock the first time its holder may purchase that share, notwithstanding any right of the Company to repurchase that share. Unless the administrator of that option plan specifies otherwise in the related agreement governing the option, this vesting limitation shall be applied by, to the extent necessary to satisfy this $ 100,000 rule, treating certain stock options that were intended to be incentive stock options under Section 422 of the Code as Nonstatutory Options. The stock options or portions of stock options to be reclassified as Nonstatutory Options are those with the highest option prices, whether granted under this Plan or any other equity compensation plan of the Company or any Affiliate that permits that treatment. This Section 7(c) shall not cause an Incentive Stock Option to vest before its original vesting date or cause an Incentive Stock Option that has already vested to cease to be vested.</w:t>
      </w:r>
    </w:p>
    <w:p>
      <w:pPr>
        <w:spacing w:after="0" w:line="13" w:lineRule="exact"/>
        <w:rPr>
          <w:rFonts w:ascii="Arial" w:cs="Arial" w:eastAsia="Arial" w:hAnsi="Arial"/>
          <w:sz w:val="15"/>
          <w:szCs w:val="15"/>
          <w:color w:val="auto"/>
        </w:rPr>
      </w:pPr>
    </w:p>
    <w:p>
      <w:pPr>
        <w:ind w:left="460" w:right="26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order for an Incentive Stock Option to be exercised for any form of payment other than those described in Section 6.4(b), that right must be stated at the time of grant in the Option Agreement relating to that Incentive Stock Option.</w:t>
      </w:r>
    </w:p>
    <w:p>
      <w:pPr>
        <w:spacing w:after="0" w:line="37" w:lineRule="exact"/>
        <w:rPr>
          <w:rFonts w:ascii="Arial" w:cs="Arial" w:eastAsia="Arial" w:hAnsi="Arial"/>
          <w:sz w:val="18"/>
          <w:szCs w:val="18"/>
          <w:color w:val="auto"/>
        </w:rPr>
      </w:pPr>
    </w:p>
    <w:p>
      <w:pPr>
        <w:ind w:left="460" w:right="160" w:firstLine="443"/>
        <w:spacing w:after="0" w:line="256"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Incentive Stock Option granted to a Ten Percent Stockholder, must have an Expiration Date that is not later than five years from its Grant Date, with the result that no such Option may be exercised after the expiration of five years from the Grant Date. A “</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is any person who, directly or by attribution under Section 424(d) of the Code, owns stock possessing more than ten percent of the total combined voting power of all classes of stock of the Company or of any Affiliate on the Grant Date.</w:t>
      </w:r>
    </w:p>
    <w:p>
      <w:pPr>
        <w:spacing w:after="0" w:line="48" w:lineRule="exact"/>
        <w:rPr>
          <w:rFonts w:ascii="Arial" w:cs="Arial" w:eastAsia="Arial" w:hAnsi="Arial"/>
          <w:sz w:val="18"/>
          <w:szCs w:val="18"/>
          <w:color w:val="auto"/>
        </w:rPr>
      </w:pPr>
    </w:p>
    <w:p>
      <w:pPr>
        <w:jc w:val="both"/>
        <w:ind w:left="460" w:firstLine="443"/>
        <w:spacing w:after="0" w:line="259" w:lineRule="auto"/>
        <w:tabs>
          <w:tab w:leader="none" w:pos="11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Option Price of an Incentive Stock Option shall never be less than the Fair Market Value of the Shares at the Grant Date. The Option Price for the Shares covered by an Incentive Stock Option granted to a Ten Percent Stockholder shall never be less than 110% of the Fair Market Value of the Shares at the Grant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17" w:name="page118"/>
    <w:bookmarkEnd w:id="117"/>
    <w:p>
      <w:pPr>
        <w:ind w:left="460" w:right="80" w:firstLine="443"/>
        <w:spacing w:after="0" w:line="259" w:lineRule="auto"/>
        <w:tabs>
          <w:tab w:leader="none" w:pos="1147"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Stock Options may be granted only to Employees. If an Optionee changes status from an Employee to a Consultant, that Optionee’s Incentive Stock Options become Nonstatutory Options if not exercised within the time period described in Section 7(i) (determined by treating that change in status as a Termination solely for purposes of this Section 7(g)).</w:t>
      </w:r>
    </w:p>
    <w:p>
      <w:pPr>
        <w:spacing w:after="0" w:line="45" w:lineRule="exact"/>
        <w:rPr>
          <w:rFonts w:ascii="Arial" w:cs="Arial" w:eastAsia="Arial" w:hAnsi="Arial"/>
          <w:sz w:val="18"/>
          <w:szCs w:val="18"/>
          <w:color w:val="auto"/>
        </w:rPr>
      </w:pPr>
    </w:p>
    <w:p>
      <w:pPr>
        <w:jc w:val="both"/>
        <w:ind w:left="460" w:right="120" w:firstLine="443"/>
        <w:spacing w:after="0" w:line="306" w:lineRule="auto"/>
        <w:tabs>
          <w:tab w:leader="none" w:pos="1147"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rights under an Incentive Stock Option may be transferred by the Optionee, other than by will or the laws of descent and distribution. During the life of the Optionee, an Incentive Stock Option may be exercised only by the Optionee. The Company’s compliance with a Domestic Relations Order, or the exercise of an Incentive Stock Option by a guardian or conservator appointed to act for the Optionee, shall not violate this Section 7(h).</w:t>
      </w:r>
    </w:p>
    <w:p>
      <w:pPr>
        <w:spacing w:after="0" w:line="12" w:lineRule="exact"/>
        <w:rPr>
          <w:rFonts w:ascii="Arial" w:cs="Arial" w:eastAsia="Arial" w:hAnsi="Arial"/>
          <w:sz w:val="16"/>
          <w:szCs w:val="16"/>
          <w:color w:val="auto"/>
        </w:rPr>
      </w:pPr>
    </w:p>
    <w:p>
      <w:pPr>
        <w:ind w:left="460" w:firstLine="443"/>
        <w:spacing w:after="0" w:line="254" w:lineRule="auto"/>
        <w:tabs>
          <w:tab w:leader="none" w:pos="11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Incentive Stock Option shall be treated as a Nonstatutory Option if it remains exercisable after, and is not exercised within, the three-month period beginning with the Optionee’s Termination for any reason other than the Optionee’s death or disability (as defined in Section 22(e) of the Code). In the case of Termination due to death, an Incentive Stock Option shall continue to be treated as an Incentive Stock Option if it remains exercisable after, and is not exercised within, the three-month period after the Optionee’s Termination provided it is exercised before the Expiration Date. In the case of Termination due to disability, an Incentive Stock Option shall be treated as a Nonstatutory Option if it remains exercisable after, and is not exercised within, one year after the Optionee’s Termination.</w:t>
      </w:r>
    </w:p>
    <w:p>
      <w:pPr>
        <w:spacing w:after="0" w:line="49" w:lineRule="exact"/>
        <w:rPr>
          <w:rFonts w:ascii="Arial" w:cs="Arial" w:eastAsia="Arial" w:hAnsi="Arial"/>
          <w:sz w:val="18"/>
          <w:szCs w:val="18"/>
          <w:color w:val="auto"/>
        </w:rPr>
      </w:pPr>
    </w:p>
    <w:p>
      <w:pPr>
        <w:ind w:left="1120" w:hanging="217"/>
        <w:spacing w:after="0"/>
        <w:tabs>
          <w:tab w:leader="none" w:pos="11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Incentive Stock Option may only be modified by the Board.</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Stock Appreciation Rights, Stock Awards and Cash Awards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Stock Appreciation Rights.</w:t>
      </w:r>
      <w:r>
        <w:rPr>
          <w:rFonts w:ascii="Arial" w:cs="Arial" w:eastAsia="Arial" w:hAnsi="Arial"/>
          <w:sz w:val="18"/>
          <w:szCs w:val="18"/>
          <w:color w:val="auto"/>
        </w:rPr>
        <w:t xml:space="preserve"> The following rules apply to SARs:</w:t>
      </w:r>
    </w:p>
    <w:p>
      <w:pPr>
        <w:spacing w:after="0" w:line="82" w:lineRule="exact"/>
        <w:rPr>
          <w:rFonts w:ascii="Arial" w:cs="Arial" w:eastAsia="Arial" w:hAnsi="Arial"/>
          <w:sz w:val="18"/>
          <w:szCs w:val="18"/>
          <w:color w:val="auto"/>
        </w:rPr>
      </w:pPr>
    </w:p>
    <w:p>
      <w:pPr>
        <w:ind w:left="460" w:right="60" w:firstLine="443"/>
        <w:spacing w:after="0" w:line="255"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SARs may be granted either alone, in addition to, or in tandem with other Awards granted under this Plan. The Administrator may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SARs to eligible participants subject to terms and conditions not inconsistent with this Plan and determined by the Administrator. The specific terms and conditions applicable to the Awardee shall be provided for in the Award Agreement. SARs shall be exercisable, in whole or in part, at such times as the Administrator shall specify in the Award Agreement. The grant or vesting of a SAR may be made contingent on the achievement of Objectively Determinable Performance Conditions.</w:t>
      </w:r>
    </w:p>
    <w:p>
      <w:pPr>
        <w:spacing w:after="0" w:line="48" w:lineRule="exact"/>
        <w:rPr>
          <w:rFonts w:ascii="Arial" w:cs="Arial" w:eastAsia="Arial" w:hAnsi="Arial"/>
          <w:sz w:val="18"/>
          <w:szCs w:val="18"/>
          <w:color w:val="auto"/>
        </w:rPr>
      </w:pPr>
    </w:p>
    <w:p>
      <w:pPr>
        <w:ind w:left="460" w:right="20" w:firstLine="443"/>
        <w:spacing w:after="0" w:line="306"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of SARs. </w:t>
      </w:r>
      <w:r>
        <w:rPr>
          <w:rFonts w:ascii="Arial" w:cs="Arial" w:eastAsia="Arial" w:hAnsi="Arial"/>
          <w:sz w:val="16"/>
          <w:szCs w:val="16"/>
          <w:color w:val="auto"/>
        </w:rPr>
        <w:t>Upon the exercise of an SAR, in whole or in part, an Awardee shall be entitled to a payment in an amount equal to the excess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Fair Market Value of a fixed number of Shares covered by the exercised portion of the SAR on the date of exercise, over the Fair Market Value of the Shares covered by the exercised portion of the SAR on the Grant Date. The amount due to the Awardee upon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18" w:name="page119"/>
    <w:bookmarkEnd w:id="11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exercise of a SAR shall be paid in cash, Shares or a combination thereof, over the period or periods specified in the Award Agreement. An Award Agreement may place limits on the amount that may be paid over any specified period or periods upon the exercise of a SAR, on an aggregate basis or as to any Awardee. A SAR shall be considered exercised when the Company receives written notice of exercise in accordance with the terms of the Award Agreement from the person entitled to exercise the SAR. If a SAR has been granted in tandem with an Option, upon the exercise of the SAR, the number of shares that may be purchased pursuant to the Option shall be reduced by the number of shares with respect to which the SAR is exercised.</w:t>
      </w:r>
    </w:p>
    <w:p>
      <w:pPr>
        <w:spacing w:after="0" w:line="21" w:lineRule="exact"/>
        <w:rPr>
          <w:sz w:val="20"/>
          <w:szCs w:val="20"/>
          <w:color w:val="auto"/>
        </w:rPr>
      </w:pPr>
    </w:p>
    <w:p>
      <w:pPr>
        <w:ind w:right="380" w:firstLine="443"/>
        <w:spacing w:after="0" w:line="259" w:lineRule="auto"/>
        <w:tabs>
          <w:tab w:leader="none" w:pos="677"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Nonassignability of SARs. </w:t>
      </w:r>
      <w:r>
        <w:rPr>
          <w:rFonts w:ascii="Arial" w:cs="Arial" w:eastAsia="Arial" w:hAnsi="Arial"/>
          <w:sz w:val="18"/>
          <w:szCs w:val="18"/>
          <w:color w:val="auto"/>
        </w:rPr>
        <w:t>Except as determined by the Administrator, no SAR shall be assignable or otherwise transferable by the Awardee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by will or by the laws of descent and distribution. Notwithstanding anything herein to the contrary, SARs may be transferred and exercised in accordance with a Domestic Relations Order.</w:t>
      </w:r>
    </w:p>
    <w:p>
      <w:pPr>
        <w:spacing w:after="0" w:line="45" w:lineRule="exact"/>
        <w:rPr>
          <w:rFonts w:ascii="Arial" w:cs="Arial" w:eastAsia="Arial" w:hAnsi="Arial"/>
          <w:sz w:val="18"/>
          <w:szCs w:val="18"/>
          <w:color w:val="auto"/>
        </w:rPr>
      </w:pPr>
    </w:p>
    <w:p>
      <w:pPr>
        <w:ind w:right="20" w:firstLine="443"/>
        <w:spacing w:after="0" w:line="254"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Substitute SARs. </w:t>
      </w:r>
      <w:r>
        <w:rPr>
          <w:rFonts w:ascii="Arial" w:cs="Arial" w:eastAsia="Arial" w:hAnsi="Arial"/>
          <w:sz w:val="18"/>
          <w:szCs w:val="18"/>
          <w:color w:val="auto"/>
        </w:rPr>
        <w:t>The Board may cause the Company to grant Substitute SARs in connection with the acquisition by the Company or an Affiliate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equity securities of any entity (including by merger) or all or a portion of the assets of any entity. Any such substitution shall be effective on the effective date of the acquisition. Unless and to the extent specified otherwise by the Board, Substitute SARs shall have the same terms and conditions as the options they replace, except that (subject to the provisions of Section 9) Substitute SARs shall be exercisable with respect to the Fair Market Value of Shares rather than equity securities of the granting entity and shall be on terms that, as determined by the Board in its sole and absolute discretion, properly reflects the substitution.</w:t>
      </w:r>
    </w:p>
    <w:p>
      <w:pPr>
        <w:spacing w:after="0" w:line="49" w:lineRule="exact"/>
        <w:rPr>
          <w:rFonts w:ascii="Arial" w:cs="Arial" w:eastAsia="Arial" w:hAnsi="Arial"/>
          <w:sz w:val="18"/>
          <w:szCs w:val="18"/>
          <w:color w:val="auto"/>
        </w:rPr>
      </w:pPr>
    </w:p>
    <w:p>
      <w:pPr>
        <w:ind w:left="680" w:hanging="237"/>
        <w:spacing w:after="0"/>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Repricings. </w:t>
      </w:r>
      <w:r>
        <w:rPr>
          <w:rFonts w:ascii="Arial" w:cs="Arial" w:eastAsia="Arial" w:hAnsi="Arial"/>
          <w:sz w:val="16"/>
          <w:szCs w:val="16"/>
          <w:color w:val="auto"/>
        </w:rPr>
        <w:t>A SAR may not be repriced, replaced or regranted, through cancellation or modification without stockholder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Stock Awards.</w:t>
      </w:r>
      <w:r>
        <w:rPr>
          <w:rFonts w:ascii="Arial" w:cs="Arial" w:eastAsia="Arial" w:hAnsi="Arial"/>
          <w:sz w:val="18"/>
          <w:szCs w:val="18"/>
          <w:color w:val="auto"/>
        </w:rPr>
        <w:t xml:space="preserve"> The following rules apply to all Stock Awards:</w:t>
      </w:r>
    </w:p>
    <w:p>
      <w:pPr>
        <w:spacing w:after="0" w:line="164" w:lineRule="exact"/>
        <w:rPr>
          <w:sz w:val="20"/>
          <w:szCs w:val="20"/>
          <w:color w:val="auto"/>
        </w:rPr>
      </w:pPr>
    </w:p>
    <w:p>
      <w:pPr>
        <w:ind w:right="140" w:firstLine="443"/>
        <w:spacing w:after="0" w:line="290" w:lineRule="auto"/>
        <w:tabs>
          <w:tab w:leader="none" w:pos="677"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specific terms and conditions of a Stock Award applicable to the Awardee shall be provided for in the Award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Agreement shall state the number of Shares that the Awardee shall be entitled to receive or purchase, the terms and conditions on which the Shares shall vest, the price to be paid, whether Shares are to be delivered at the time of grant or at some deferred date specified in the Award Agreement, whether the Award is payable solely in Shares, cash or either and, if applicable, the time within which the Awardee must accept such offer. The offer shall be accepted by execution of the Award Agreement. The Administrator may require that all Shares subject to a right of repurchase or risk of forfeiture be held in escrow until such repurchase right or risk of forfeiture lapses. The grant or vesting of a Stock Award may be made contingent on the achievement of Objectively Determinable Performance Conditions.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19" w:name="page120"/>
    <w:bookmarkEnd w:id="119"/>
    <w:p>
      <w:pPr>
        <w:ind w:left="46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of Repurchase</w:t>
      </w:r>
      <w:r>
        <w:rPr>
          <w:rFonts w:ascii="Arial" w:cs="Arial" w:eastAsia="Arial" w:hAnsi="Arial"/>
          <w:sz w:val="18"/>
          <w:szCs w:val="18"/>
          <w:color w:val="auto"/>
        </w:rPr>
        <w:t>. If so provided in the Award Agreement, Award Shares acquired pursuant to a Stock Award may be subject to repurchase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 Affiliate if not vested in accordance with the Award Agreement.</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Form of Payment</w:t>
      </w:r>
      <w:r>
        <w:rPr>
          <w:rFonts w:ascii="Arial" w:cs="Arial" w:eastAsia="Arial" w:hAnsi="Arial"/>
          <w:sz w:val="18"/>
          <w:szCs w:val="18"/>
          <w:color w:val="auto"/>
        </w:rPr>
        <w:t>. The Administrator shall determine the acceptable form and method of payment for exercising a Stock Award. Acceptable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forms of payment for all Award Shares are cash, check or wire transfer, denominated in U.S. dollars except as specified by the Administrator for non-U.S. sub-plans. In addition, the Administrator may permit payment to be made by any of the methods permitted with respect to the exercise of Options pursuant to Section 6.4.</w:t>
      </w:r>
    </w:p>
    <w:p>
      <w:pPr>
        <w:spacing w:after="0" w:line="48"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Nonassignability of Stock Awards. </w:t>
      </w:r>
      <w:r>
        <w:rPr>
          <w:rFonts w:ascii="Arial" w:cs="Arial" w:eastAsia="Arial" w:hAnsi="Arial"/>
          <w:sz w:val="18"/>
          <w:szCs w:val="18"/>
          <w:color w:val="auto"/>
        </w:rPr>
        <w:t>Except as determined by the Administrator, no Stock Award shall be assignable or otherwise transferable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Awardee except by will or by the laws of descent and distribution. Notwithstanding anything to the contrary herein, Stock Awards may be transferred and exercised in accordance with a Domestic Relations Order.</w:t>
      </w:r>
    </w:p>
    <w:p>
      <w:pPr>
        <w:spacing w:after="0" w:line="45" w:lineRule="exact"/>
        <w:rPr>
          <w:rFonts w:ascii="Arial" w:cs="Arial" w:eastAsia="Arial" w:hAnsi="Arial"/>
          <w:sz w:val="18"/>
          <w:szCs w:val="18"/>
          <w:color w:val="auto"/>
        </w:rPr>
      </w:pPr>
    </w:p>
    <w:p>
      <w:pPr>
        <w:ind w:left="460" w:firstLine="443"/>
        <w:spacing w:after="0" w:line="291" w:lineRule="auto"/>
        <w:tabs>
          <w:tab w:leader="none" w:pos="1137"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Substitute Stock Award. </w:t>
      </w:r>
      <w:r>
        <w:rPr>
          <w:rFonts w:ascii="Arial" w:cs="Arial" w:eastAsia="Arial" w:hAnsi="Arial"/>
          <w:sz w:val="16"/>
          <w:szCs w:val="16"/>
          <w:color w:val="auto"/>
        </w:rPr>
        <w:t>The Board may cause the Company to grant Substitute Stock Awards in connection with the acquisition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an Affiliate of equity securities of any entity (including by merger) or all or a portion of the assets of any entity. Unless and to the extent specified otherwise by the Board, Substitute Stock Awards shall have the same terms and conditions as the stock awards they replace, except that (subject to the provisions of Section 10) Substitute Stock Awards shall be Stock Awards to purchase Shares rather than equity securities of the granting entity and shall have a Purchase Price that, as determined by the Board in its sole and absolute discretion, properly reflects the substitution. Any such Substituted Stock Award shall be effective on the effective date of the acquisition.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Cash Awards.</w:t>
      </w:r>
      <w:r>
        <w:rPr>
          <w:rFonts w:ascii="Arial" w:cs="Arial" w:eastAsia="Arial" w:hAnsi="Arial"/>
          <w:sz w:val="18"/>
          <w:szCs w:val="18"/>
          <w:color w:val="auto"/>
        </w:rPr>
        <w:t xml:space="preserve"> The following rules apply to all Cash Awards: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Cash Awards may be granted either alone, in addition to, or in tandem with other Awards granted under this Plan. After the Administrator determines that it will offer a Cash Award, it shall advise the Awardee, by means of an Award Agreement, of the terms, conditions and restrictions related to the Cash Award.</w:t>
      </w:r>
    </w:p>
    <w:p>
      <w:pPr>
        <w:spacing w:after="0" w:line="6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Exercise of Awards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In General.</w:t>
      </w:r>
      <w:r>
        <w:rPr>
          <w:rFonts w:ascii="Arial" w:cs="Arial" w:eastAsia="Arial" w:hAnsi="Arial"/>
          <w:sz w:val="18"/>
          <w:szCs w:val="18"/>
          <w:color w:val="auto"/>
        </w:rPr>
        <w:t xml:space="preserve"> An Award shall be exercisable in accordance with this Plan and the Award Agreement under which it is granted.</w:t>
      </w:r>
    </w:p>
    <w:p>
      <w:pPr>
        <w:spacing w:after="0" w:line="158"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Time of Exercise.</w:t>
      </w:r>
      <w:r>
        <w:rPr>
          <w:rFonts w:ascii="Arial" w:cs="Arial" w:eastAsia="Arial" w:hAnsi="Arial"/>
          <w:sz w:val="18"/>
          <w:szCs w:val="18"/>
          <w:color w:val="auto"/>
        </w:rPr>
        <w:t xml:space="preserve"> Options and Stock Awards shall be considered exercised when the Company receives: (a) written notice of exercise from the person entitled to exercise the Option or Stock Award, (b) full payment, or provision for payment, in a form and method approved by the Administrator, for the Shares for which</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20" w:name="page121"/>
    <w:bookmarkEnd w:id="120"/>
    <w:p>
      <w:pPr>
        <w:ind w:right="5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 or Stock Award is being exercised, and (c) with respect to Nonstatutory Options, payment, or provision for payment, in a form approved by the Administrator, of all applicable withholding taxes due upon exercise. An Award may not be exercised for a fraction of a Share. SARs shall be considered exercised when the Company receives written notice of the exercise from the person entitled to exercise the SAR.</w:t>
      </w:r>
    </w:p>
    <w:p>
      <w:pPr>
        <w:spacing w:after="0" w:line="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Issuance of Award Shares.</w:t>
      </w:r>
      <w:r>
        <w:rPr>
          <w:rFonts w:ascii="Arial" w:cs="Arial" w:eastAsia="Arial" w:hAnsi="Arial"/>
          <w:sz w:val="16"/>
          <w:szCs w:val="16"/>
          <w:color w:val="auto"/>
        </w:rPr>
        <w:t xml:space="preserve"> The Company shall issue Award Shares in the name of the person properly exercising the Award. If the Awardee is that person and so requests, the Award Shares shall be issued in the name of the Awardee and the Awardee’s spouse. The Company shall endeavor to issue Award Shares promptly after an Award is exercised or after the Grant Date of a Stock Award, as applicable. Until Award Shares are actually issued, as evidenced by the appropriate entry on the stock register of the Company or its transfer agent, the Awardee will not have the rights of a stockholder with respect to those Award Shares, even though the Awardee has completed all the steps necessary to exercise the Award. No adjustment shall be made for any dividend, distribution, or other right for which the record date precedes the date the Award Shares are issued, except as provided in Section 10.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 Termination</w:t>
      </w:r>
    </w:p>
    <w:p>
      <w:pPr>
        <w:spacing w:after="0" w:line="158" w:lineRule="exact"/>
        <w:rPr>
          <w:sz w:val="20"/>
          <w:szCs w:val="20"/>
          <w:color w:val="auto"/>
        </w:rPr>
      </w:pPr>
    </w:p>
    <w:p>
      <w:pPr>
        <w:ind w:left="460" w:right="40" w:firstLine="443"/>
        <w:spacing w:after="0" w:line="298"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In General</w:t>
      </w:r>
      <w:r>
        <w:rPr>
          <w:rFonts w:ascii="Arial" w:cs="Arial" w:eastAsia="Arial" w:hAnsi="Arial"/>
          <w:sz w:val="16"/>
          <w:szCs w:val="16"/>
          <w:color w:val="auto"/>
        </w:rPr>
        <w:t>. Except as provided in an Award Agreement or in writing by the Administrator, including in an Award Agreement, and as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Sections 9.4(b), (c), (d) and (e) after an Awardee’s Termination, the Awardee’s Awards shall be exercisable to the extent (but only to the extent) they are vested on the date of that Termination and only during the three months after the Termination, but in no event after the Expiration Date. To the extent the Awardee does not exercise an Award within the time specified for exercise, the Award shall automatically terminate.</w:t>
      </w:r>
    </w:p>
    <w:p>
      <w:pPr>
        <w:spacing w:after="0" w:line="18" w:lineRule="exact"/>
        <w:rPr>
          <w:rFonts w:ascii="Arial" w:cs="Arial" w:eastAsia="Arial" w:hAnsi="Arial"/>
          <w:sz w:val="16"/>
          <w:szCs w:val="16"/>
          <w:color w:val="auto"/>
        </w:rPr>
      </w:pPr>
    </w:p>
    <w:p>
      <w:pPr>
        <w:jc w:val="both"/>
        <w:ind w:left="460" w:right="8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Leaves of Absence</w:t>
      </w:r>
      <w:r>
        <w:rPr>
          <w:rFonts w:ascii="Arial" w:cs="Arial" w:eastAsia="Arial" w:hAnsi="Arial"/>
          <w:sz w:val="18"/>
          <w:szCs w:val="18"/>
          <w:color w:val="auto"/>
        </w:rPr>
        <w:t>. Unless otherwise provided in the Award Agreement, no Award may be exercised more than three months after the beginning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leave of absence, other than a personal or medical leave approved by an authorized representative of the Company with employment guaranteed upon return. Awards shall not continue to vest during a leave of absence, unless otherwise determined by the Administrator with respect to an approved personal or medical leave with employment guaranteed upon return.</w:t>
      </w:r>
    </w:p>
    <w:p>
      <w:pPr>
        <w:spacing w:after="0" w:line="48" w:lineRule="exact"/>
        <w:rPr>
          <w:rFonts w:ascii="Arial" w:cs="Arial" w:eastAsia="Arial" w:hAnsi="Arial"/>
          <w:sz w:val="18"/>
          <w:szCs w:val="18"/>
          <w:color w:val="auto"/>
        </w:rPr>
      </w:pPr>
    </w:p>
    <w:p>
      <w:pPr>
        <w:ind w:left="460" w:firstLine="443"/>
        <w:spacing w:after="0" w:line="298"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Death or Disability</w:t>
      </w:r>
      <w:r>
        <w:rPr>
          <w:rFonts w:ascii="Arial" w:cs="Arial" w:eastAsia="Arial" w:hAnsi="Arial"/>
          <w:sz w:val="16"/>
          <w:szCs w:val="16"/>
          <w:color w:val="auto"/>
        </w:rPr>
        <w:t>. Unless otherwise provided by the Administrator, if an Awardee’s Termination is due to death or disability (as determined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with respect to all Awards other than Incentive Stock Options and as defined by Section 22(e) of the Code with respect to Incentive Stock Options), all Awards of that Awardee to the extent exercisable at the date of that Termination may be exercised for one year after that Termination, but in no event after the Expiration Date. In the case of Termination due to death, an Award may be exercised as provided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21" w:name="page122"/>
    <w:bookmarkEnd w:id="121"/>
    <w:p>
      <w:pPr>
        <w:ind w:left="46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 In the case of Termination due to disability, if a guardian or conservator has been appointed to act for the Awardee and been granted this authority as part of that appointment, that guardian or conservator may exercise the Award on behalf of the Awardee. Death or disability occurring after an Awardee’s Termination shall not cause the Termination to be treated as having occurred due to death or disability. To the extent an Award is not so exercised within the time specified for its exercise, the Award shall automatically terminate.</w:t>
      </w:r>
    </w:p>
    <w:p>
      <w:pPr>
        <w:spacing w:after="0" w:line="49" w:lineRule="exact"/>
        <w:rPr>
          <w:sz w:val="20"/>
          <w:szCs w:val="20"/>
          <w:color w:val="auto"/>
        </w:rPr>
      </w:pPr>
    </w:p>
    <w:p>
      <w:pPr>
        <w:ind w:left="460" w:right="140" w:firstLine="443"/>
        <w:spacing w:after="0" w:line="268" w:lineRule="auto"/>
        <w:tabs>
          <w:tab w:leader="none" w:pos="1147"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Divestiture. </w:t>
      </w:r>
      <w:r>
        <w:rPr>
          <w:rFonts w:ascii="Arial" w:cs="Arial" w:eastAsia="Arial" w:hAnsi="Arial"/>
          <w:sz w:val="18"/>
          <w:szCs w:val="18"/>
          <w:color w:val="auto"/>
        </w:rPr>
        <w:t>If an Awardee’s Termination is due to a Divestiture, the Board may take any one or more of the actions described in Section 10.3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10.4 with respect to the Awardee’s Awards.</w:t>
      </w:r>
    </w:p>
    <w:p>
      <w:pPr>
        <w:spacing w:after="0" w:line="37" w:lineRule="exact"/>
        <w:rPr>
          <w:rFonts w:ascii="Arial" w:cs="Arial" w:eastAsia="Arial" w:hAnsi="Arial"/>
          <w:sz w:val="18"/>
          <w:szCs w:val="18"/>
          <w:color w:val="auto"/>
        </w:rPr>
      </w:pPr>
    </w:p>
    <w:p>
      <w:pPr>
        <w:ind w:left="460" w:right="740" w:firstLine="443"/>
        <w:spacing w:after="0" w:line="268" w:lineRule="auto"/>
        <w:tabs>
          <w:tab w:leader="none" w:pos="1137"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Administrator Discretion</w:t>
      </w:r>
      <w:r>
        <w:rPr>
          <w:rFonts w:ascii="Arial" w:cs="Arial" w:eastAsia="Arial" w:hAnsi="Arial"/>
          <w:sz w:val="18"/>
          <w:szCs w:val="18"/>
          <w:color w:val="auto"/>
        </w:rPr>
        <w:t>. Notwithstanding the provisions of Section 9.4 (a)-(e), the Plan Administrator shall have complete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either at the time an Award is granted or at any time while the Award remains outstanding, to:</w:t>
      </w:r>
    </w:p>
    <w:p>
      <w:pPr>
        <w:spacing w:after="0" w:line="37" w:lineRule="exact"/>
        <w:rPr>
          <w:rFonts w:ascii="Arial" w:cs="Arial" w:eastAsia="Arial" w:hAnsi="Arial"/>
          <w:sz w:val="18"/>
          <w:szCs w:val="18"/>
          <w:color w:val="auto"/>
        </w:rPr>
      </w:pPr>
    </w:p>
    <w:p>
      <w:pPr>
        <w:ind w:left="920" w:right="300" w:firstLine="421"/>
        <w:spacing w:after="0" w:line="259" w:lineRule="auto"/>
        <w:tabs>
          <w:tab w:leader="none" w:pos="1549" w:val="left"/>
        </w:tabs>
        <w:numPr>
          <w:ilvl w:val="2"/>
          <w:numId w:val="84"/>
        </w:numPr>
        <w:rPr>
          <w:rFonts w:ascii="Arial" w:cs="Arial" w:eastAsia="Arial" w:hAnsi="Arial"/>
          <w:sz w:val="18"/>
          <w:szCs w:val="18"/>
          <w:color w:val="auto"/>
        </w:rPr>
      </w:pPr>
      <w:r>
        <w:rPr>
          <w:rFonts w:ascii="Arial" w:cs="Arial" w:eastAsia="Arial" w:hAnsi="Arial"/>
          <w:sz w:val="18"/>
          <w:szCs w:val="18"/>
          <w:color w:val="auto"/>
        </w:rPr>
        <w:t>Extend the period of time for which the Award is to remain exercisable, following the Awardee’s Termination, from the limited exercise period otherwise in effect for that Award to such greater period of time as the Administrator shall deem appropriate, but in no event beyond the Expiration Date; and/or</w:t>
      </w:r>
    </w:p>
    <w:p>
      <w:pPr>
        <w:spacing w:after="0" w:line="45" w:lineRule="exact"/>
        <w:rPr>
          <w:rFonts w:ascii="Arial" w:cs="Arial" w:eastAsia="Arial" w:hAnsi="Arial"/>
          <w:sz w:val="18"/>
          <w:szCs w:val="18"/>
          <w:color w:val="auto"/>
        </w:rPr>
      </w:pPr>
    </w:p>
    <w:p>
      <w:pPr>
        <w:ind w:left="920" w:right="280" w:firstLine="421"/>
        <w:spacing w:after="0" w:line="306" w:lineRule="auto"/>
        <w:tabs>
          <w:tab w:leader="none" w:pos="1598" w:val="left"/>
        </w:tabs>
        <w:numPr>
          <w:ilvl w:val="2"/>
          <w:numId w:val="84"/>
        </w:numPr>
        <w:rPr>
          <w:rFonts w:ascii="Arial" w:cs="Arial" w:eastAsia="Arial" w:hAnsi="Arial"/>
          <w:sz w:val="16"/>
          <w:szCs w:val="16"/>
          <w:color w:val="auto"/>
        </w:rPr>
      </w:pPr>
      <w:r>
        <w:rPr>
          <w:rFonts w:ascii="Arial" w:cs="Arial" w:eastAsia="Arial" w:hAnsi="Arial"/>
          <w:sz w:val="16"/>
          <w:szCs w:val="16"/>
          <w:color w:val="auto"/>
        </w:rPr>
        <w:t>Permit the Award to be exercised, during the applicable post-Termination exercise period, not only with respect to the number of vested Shares for which such Award may be exercisable at the time of the Awardee’s Termination but also with respect to one or more additional installments in which the Awardee would have vested had the Awardee not been subject to Termination.</w:t>
      </w:r>
    </w:p>
    <w:p>
      <w:pPr>
        <w:spacing w:after="0" w:line="12" w:lineRule="exact"/>
        <w:rPr>
          <w:rFonts w:ascii="Arial" w:cs="Arial" w:eastAsia="Arial" w:hAnsi="Arial"/>
          <w:sz w:val="16"/>
          <w:szCs w:val="16"/>
          <w:color w:val="auto"/>
        </w:rPr>
      </w:pPr>
    </w:p>
    <w:p>
      <w:pPr>
        <w:ind w:left="460" w:right="20" w:firstLine="443"/>
        <w:spacing w:after="0" w:line="255" w:lineRule="auto"/>
        <w:tabs>
          <w:tab w:leader="none" w:pos="1117"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or Employment Relationship</w:t>
      </w:r>
      <w:r>
        <w:rPr>
          <w:rFonts w:ascii="Arial" w:cs="Arial" w:eastAsia="Arial" w:hAnsi="Arial"/>
          <w:sz w:val="18"/>
          <w:szCs w:val="18"/>
          <w:color w:val="auto"/>
        </w:rPr>
        <w:t>. Nothing in this Plan or in any Award Agreement, and no Award or the fact that Award Shares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repurchase rights, shall: (A) interfere with or limit the right of the Company or any Affiliate to terminate the employment or consultancy of any Awardee at any time, whether with or without cause or reason, and with or without the payment of severance or any other compensation or payment, or (B) interfere with the application of any provision in any of the Company’s or any Affiliate’s charter documents or Applicable Law relating to the election, appointment, term of office, or removal of a Director.</w:t>
      </w:r>
    </w:p>
    <w:p>
      <w:pPr>
        <w:spacing w:after="0" w:line="42"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Certain Transactions and Events</w:t>
      </w:r>
    </w:p>
    <w:p>
      <w:pPr>
        <w:spacing w:after="0" w:line="15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In General</w:t>
      </w:r>
      <w:r>
        <w:rPr>
          <w:rFonts w:ascii="Arial" w:cs="Arial" w:eastAsia="Arial" w:hAnsi="Arial"/>
          <w:sz w:val="16"/>
          <w:szCs w:val="16"/>
          <w:color w:val="auto"/>
        </w:rPr>
        <w:t>. Except as provided in this Section 10, no change in the capital structure of the Company, merger, sale or other disposition of assets or a subsidiary, change in control, issuance by the Company of shares of any class of securities or securities convertible into shares of any class of securities, exchange or conversion of securities, or other transaction or event shall require or be the occasion for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 of the type described in this Section 10. Additional provisions with respect to the foregoing transactions are set forth in Section 13.3.</w:t>
      </w:r>
    </w:p>
    <w:p>
      <w:pPr>
        <w:spacing w:after="0" w:line="175" w:lineRule="exact"/>
        <w:rPr>
          <w:sz w:val="20"/>
          <w:szCs w:val="20"/>
          <w:color w:val="auto"/>
        </w:rPr>
      </w:pPr>
    </w:p>
    <w:p>
      <w:pPr>
        <w:ind w:right="80" w:firstLine="456"/>
        <w:spacing w:after="0" w:line="313"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b w:val="1"/>
          <w:bCs w:val="1"/>
          <w:color w:val="auto"/>
        </w:rPr>
        <w:t>Changes in Capital Structure</w:t>
      </w:r>
      <w:r>
        <w:rPr>
          <w:rFonts w:ascii="Arial" w:cs="Arial" w:eastAsia="Arial" w:hAnsi="Arial"/>
          <w:sz w:val="15"/>
          <w:szCs w:val="15"/>
          <w:color w:val="auto"/>
        </w:rPr>
        <w:t>. In the event of any stock split, reverse stock split, recapitalization, combination or reclassification of stock, stock dividend, spin-off, or similar change to the capital structure of the Company (not including a Fundamental Transaction or Change in Control), the Board shall make whatever adjustments it concludes are appropriate to: (a) the number and type of Awards that may be granted under this Plan, (b) the number and type of Options that may be granted to any individual under this Plan, (c) the terms of any SAR, (d) the Purchase Price of any Stock Award, (e) the Option Price and number and class of securities issuable under each outstanding Option, and (f) the repurchase price of any securities substituted for Award Shares that are subject to repurchase rights. The specific adjustments shall be determined by the Board. Unless the Board specifies otherwise, any securities issuable as a result of any such adjustment shall be rounded down to the next lower whole security. The Board need not adopt the same rules for each Award or each Awardee.</w:t>
      </w:r>
    </w:p>
    <w:p>
      <w:pPr>
        <w:spacing w:after="0" w:line="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Fundamental Transactions</w:t>
      </w:r>
      <w:r>
        <w:rPr>
          <w:rFonts w:ascii="Arial" w:cs="Arial" w:eastAsia="Arial" w:hAnsi="Arial"/>
          <w:sz w:val="16"/>
          <w:szCs w:val="16"/>
          <w:color w:val="auto"/>
        </w:rPr>
        <w:t>. In the event of (a)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Awards granted under this Plan are assumed, converted or replaced by the successor corporation, which assumption shall be binding on all Participants), (b) a merger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 (c) the sale of all or substantially all of the assets of the Company, or (d) the acquisition, sale, or transfer of more than 50% of the outstanding shares of the Company by tender offer or similar transaction (each, a “</w:t>
      </w:r>
      <w:r>
        <w:rPr>
          <w:rFonts w:ascii="Arial" w:cs="Arial" w:eastAsia="Arial" w:hAnsi="Arial"/>
          <w:sz w:val="16"/>
          <w:szCs w:val="16"/>
          <w:b w:val="1"/>
          <w:bCs w:val="1"/>
          <w:i w:val="1"/>
          <w:iCs w:val="1"/>
          <w:color w:val="auto"/>
        </w:rPr>
        <w:t>Fundamental Transaction</w:t>
      </w:r>
      <w:r>
        <w:rPr>
          <w:rFonts w:ascii="Arial" w:cs="Arial" w:eastAsia="Arial" w:hAnsi="Arial"/>
          <w:sz w:val="16"/>
          <w:szCs w:val="16"/>
          <w:color w:val="auto"/>
        </w:rPr>
        <w:t>”), any or all outstanding Awards may be assumed, converted or replaced by the successor corporation (if any), which assumption, conversion or replacement shall be binding on all participants under this Plan.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held by the participants, substantially similar shares or other property subject to repurchase restrictions no less favorable to the participant. In the event such successor corporation (if any) does not assume or substitute Awards, as provided above, pursuant to a transaction described in this Subsection 10.3, the vesting with respect to such Awards shall fully and immediately accelerate or the repurchase rights of the Company shall fully and immediately terminate, as the case may be, so that the Awards may be exercised or the repurchase rights shall terminate before, or otherwise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23" w:name="page124"/>
    <w:bookmarkEnd w:id="123"/>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closing or completion of the Fundamental Transaction or event, but then terminate. Notwithstanding anything in this Plan to the contrary, the Committee may, in its sole discretion, provide that the vesting of any or all Award Shares subject to vesting or right of repurchase shall accelerate or lapse, as the case may be, upon a transaction described in this Section 10.3. If the Committee exercises such discretion with respect to Options, such Options shall become exercisable in full prior to the consummation of such event at such time and on such conditions as the Committee determines, and if such Options are not exercised prior to the consummation of the Fundamental Transaction, they shall terminate at such time as determined by the Committee. Subject to any greater rights granted to participants under the foregoing provisions of this Section 10.3, in the event of the occurrence of any Fundamental Transaction, any outstanding Awards shall be treated as provided in the applicable agreement or plan of merger, consolidation, dissolution, liquidation, or sale of assets.</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Changes of Control</w:t>
      </w:r>
      <w:r>
        <w:rPr>
          <w:rFonts w:ascii="Arial" w:cs="Arial" w:eastAsia="Arial" w:hAnsi="Arial"/>
          <w:sz w:val="16"/>
          <w:szCs w:val="16"/>
          <w:color w:val="auto"/>
        </w:rPr>
        <w:t>. The Board may also, but need not, specify that other transactions or events constitute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The Board may do that either before or after the transaction or event occurs. Examples of transactions or events that the Board may treat as Changes of Control are: (a) any person or entity, including a “group” as contemplated by Section 13(d)(3) of the Exchange Act, acquires securities holding 30% or more of the total combined voting power or value of the Company, or (b) as a result of or in connection with a contested election of Company Directors, the persons who were Company Directors immediately before the election cease to constitute a majority of the Board. In connection with a Change in Control, notwithstanding any other provision of this Plan, the Board may, but need not, take any one or more of the actions described in Section 10.3. In addition, the Board may extend the date for the exercise of Awards (but not beyond their original Expiration Date). The Board need not adopt the same rules for each Award or each Awardee. Notwithstanding anything in this Plan to the contrary, in the event of an Involuntary Termination of services for any reason other than death, disability or Cause, within 12 months following the consummation of a Fundamental Transaction or Change in Control, any Awards, assumed or substituted in a Fundamental Transaction or Change in Control, which are subject to vesting conditions and/or the right of repurchase in favor of the Company or a successor entity, shall accelerate fully so that such Award Shares are immediately exercisable upon Termination or, if subject to the right of repurchase in favor of the Company, such repurchase rights shall lapse as of the date of Termination. Such Awards shall be exercisable for a period of three (3) months following termination.</w:t>
      </w:r>
    </w:p>
    <w:p>
      <w:pPr>
        <w:spacing w:after="0" w:line="10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Divestiture</w:t>
      </w:r>
      <w:r>
        <w:rPr>
          <w:rFonts w:ascii="Arial" w:cs="Arial" w:eastAsia="Arial" w:hAnsi="Arial"/>
          <w:sz w:val="18"/>
          <w:szCs w:val="18"/>
          <w:color w:val="auto"/>
        </w:rPr>
        <w:t>. If the Company or an Affiliate sells or otherwise transfers equity securities of an Affiliate to a person or entity other than the Company or an Affiliate, or leases, exchanges or transfers all or any portion of its assets to such a person or entity, then the Board may specify that such transaction or event constitutes a “</w:t>
      </w:r>
      <w:r>
        <w:rPr>
          <w:rFonts w:ascii="Arial" w:cs="Arial" w:eastAsia="Arial" w:hAnsi="Arial"/>
          <w:sz w:val="18"/>
          <w:szCs w:val="18"/>
          <w:b w:val="1"/>
          <w:bCs w:val="1"/>
          <w:i w:val="1"/>
          <w:iCs w:val="1"/>
          <w:color w:val="auto"/>
        </w:rPr>
        <w:t>Divestiture</w:t>
      </w:r>
      <w:r>
        <w:rPr>
          <w:rFonts w:ascii="Arial" w:cs="Arial" w:eastAsia="Arial" w:hAnsi="Arial"/>
          <w:sz w:val="18"/>
          <w:szCs w:val="18"/>
          <w:color w:val="auto"/>
        </w:rPr>
        <w:t>”. In connection with a Divestiture, notwithstanding any other provision of this Plan, the Board may, but need not, take one or more of the actions described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4" w:name="page125"/>
    <w:bookmarkEnd w:id="12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10.3 or 10.4 with respect to Awards of Award Shares held by, for example, Employees, Directors or Consultants for whom that transaction or event results in a Termination. The Board need not adopt the same rules for each Award or Awardee.</w:t>
      </w:r>
    </w:p>
    <w:p>
      <w:pPr>
        <w:spacing w:after="0" w:line="11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Dissolution</w:t>
      </w:r>
      <w:r>
        <w:rPr>
          <w:rFonts w:ascii="Arial" w:cs="Arial" w:eastAsia="Arial" w:hAnsi="Arial"/>
          <w:sz w:val="18"/>
          <w:szCs w:val="18"/>
          <w:color w:val="auto"/>
        </w:rPr>
        <w:t>. If the Company adopts a plan of dissolution, the Board may cause Awards to be fully vested and exercisable (but not after their Expiration Date) before the dissolution is completed but contingent on its completion and may cause the Company’s repurchase rights on Award Shares to lapse upon completion of the dissolution. The Board need not adopt the same rules for each Award or each Awardee. Notwithstanding anything herein to the contrary, in the event of a dissolution of the Company, to the extent not exercised before the earlier of the completion of the dissolution or their Expiration Date, Awards shall terminate immediately prior to the dissolution.</w:t>
      </w:r>
    </w:p>
    <w:p>
      <w:pPr>
        <w:spacing w:after="0" w:line="125"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color w:val="auto"/>
        </w:rPr>
        <w:t>Cut-Back to Preserve Benefits</w:t>
      </w:r>
      <w:r>
        <w:rPr>
          <w:rFonts w:ascii="Arial" w:cs="Arial" w:eastAsia="Arial" w:hAnsi="Arial"/>
          <w:sz w:val="16"/>
          <w:szCs w:val="16"/>
          <w:color w:val="auto"/>
        </w:rPr>
        <w:t>. If the Administrator determines that the net after-tax amount to be realized by any Awardee, taking into account any accelerated vesting, termination of repurchase rights, or cash payments to that Awardee in connection with any transaction or event set forth in this Section 10 would be greater if one or more of those steps were not taken or payments were not made with respect to that Awardee’s Awards or Award Shares, then, at the election of the Awardee, to such extent, one or more of those steps shall not be taken and payments shall not be made.</w:t>
      </w:r>
    </w:p>
    <w:p>
      <w:pPr>
        <w:spacing w:after="0" w:line="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Withholding and Tax Reporting</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Tax Withholding Alternatives</w:t>
      </w:r>
    </w:p>
    <w:p>
      <w:pPr>
        <w:spacing w:after="0" w:line="82" w:lineRule="exact"/>
        <w:rPr>
          <w:rFonts w:ascii="Arial" w:cs="Arial" w:eastAsia="Arial" w:hAnsi="Arial"/>
          <w:sz w:val="18"/>
          <w:szCs w:val="18"/>
          <w:color w:val="auto"/>
        </w:rPr>
      </w:pPr>
    </w:p>
    <w:p>
      <w:pPr>
        <w:ind w:left="460" w:right="60" w:firstLine="443"/>
        <w:spacing w:after="0" w:line="255"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Whenever Award Shares are issued or become free of restrictions, the Company may require the Awardee to remit to the Company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sufficient to satisfy any applicable tax withholding requirement, whether the related tax is imposed on the Awardee or the Company. The Company shall have no obligation to deliver Award Shares or release Award Shares from an escrow or permit a transfer of Award Shares until the Awardee has satisfied those tax withholding obligations. Whenever payment in satisfaction of Awards is made in cash, the payment will be reduced by an amount sufficient to satisfy all tax withholding requirements.</w:t>
      </w:r>
    </w:p>
    <w:p>
      <w:pPr>
        <w:spacing w:after="0" w:line="48" w:lineRule="exact"/>
        <w:rPr>
          <w:rFonts w:ascii="Arial" w:cs="Arial" w:eastAsia="Arial" w:hAnsi="Arial"/>
          <w:sz w:val="18"/>
          <w:szCs w:val="18"/>
          <w:color w:val="auto"/>
        </w:rPr>
      </w:pPr>
    </w:p>
    <w:p>
      <w:pPr>
        <w:ind w:left="460" w:firstLine="443"/>
        <w:spacing w:after="0" w:line="256"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Method of Payment</w:t>
      </w:r>
      <w:r>
        <w:rPr>
          <w:rFonts w:ascii="Arial" w:cs="Arial" w:eastAsia="Arial" w:hAnsi="Arial"/>
          <w:sz w:val="18"/>
          <w:szCs w:val="18"/>
          <w:color w:val="auto"/>
        </w:rPr>
        <w:t>. The Awardee shall pay any required withholding using the forms of consideration described in Section 6.4(b), except that,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discretion of the Administrator, the Company may also permit the Awardee to use any of the forms of payment described in Section 6.4(c). The Administrator, in its sole discretion, may also permit Award Shares to be withheld to pay required withholding. If the Administrator permits Award Shares to be withheld, the Fair Market Value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25" w:name="page126"/>
    <w:bookmarkEnd w:id="125"/>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Shares withheld, as determined as of the date of withholding, shall not exceed the amount determined by the applicable minimum statutory withholding rates.</w:t>
      </w:r>
    </w:p>
    <w:p>
      <w:pPr>
        <w:spacing w:after="0" w:line="112"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Reporting of Dispositions</w:t>
      </w:r>
      <w:r>
        <w:rPr>
          <w:rFonts w:ascii="Arial" w:cs="Arial" w:eastAsia="Arial" w:hAnsi="Arial"/>
          <w:sz w:val="18"/>
          <w:szCs w:val="18"/>
          <w:color w:val="auto"/>
        </w:rPr>
        <w:t>. Any holder of Option Shares acquired under an Incentive Stock Option shall promptly notify the Administrator, following such procedures as the Administrator may require, of the sale or other disposition of any of those Option Shares if the disposition occurs during: (a) the longer of two years after the Grant Date of the Incentive Stock Option and one year after the date the Incentive Stock Option was exercised, or (b) such other period as the Administrator has established.</w:t>
      </w:r>
    </w:p>
    <w:p>
      <w:pPr>
        <w:spacing w:after="0" w:line="4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Compliance with Law</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grant of Awards and the issuance and subsequent transfer of Award Shares shall be subject to compliance with all Applicable Law, including all applicable securities laws. Awards may not be exercised, and Award Shares may not be transferred, in violation of Applicable Law. Thus, for example, Awards may not be exercised unless: (a) a registration statement under the Securities Act is then in effect with respect to the related Award Shares, or (b) in the opinion of legal counsel to the Company, those Award Shares may be issued in accordance with an applicable exemption from the registration requirements of the Securities Act and any other applicable securities laws. The failure or inability of the Company to obtain from any regulatory body the authority considered by the Company’s legal counsel to be necessary or useful for the lawful issuance of any Award Shares or their subsequent transfer shall relieve the Company of any liability for failing to issue those Award Shares or permitting their transfer. As a condition to the exercise of any Award or the transfer of any Award Shares, the Company may require the Awardee to satisfy any requirements or qualifications that may be necessary or appropriate to comply with or evidence compliance with any Applicable Law.</w:t>
      </w:r>
    </w:p>
    <w:p>
      <w:pPr>
        <w:spacing w:after="0" w:line="1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Amendment or Termination of this Plan or Outstanding Awards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Amendment and Termination</w:t>
      </w:r>
      <w:r>
        <w:rPr>
          <w:rFonts w:ascii="Arial" w:cs="Arial" w:eastAsia="Arial" w:hAnsi="Arial"/>
          <w:sz w:val="18"/>
          <w:szCs w:val="18"/>
          <w:color w:val="auto"/>
        </w:rPr>
        <w:t>. The Board may at any time amend, suspend, or terminate this Plan.</w:t>
      </w:r>
    </w:p>
    <w:p>
      <w:pPr>
        <w:spacing w:after="0" w:line="158"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Stockholder Approval.</w:t>
      </w:r>
      <w:r>
        <w:rPr>
          <w:rFonts w:ascii="Arial" w:cs="Arial" w:eastAsia="Arial" w:hAnsi="Arial"/>
          <w:sz w:val="16"/>
          <w:szCs w:val="16"/>
          <w:color w:val="auto"/>
        </w:rPr>
        <w:t xml:space="preserve"> The Company shall obtain the approval of the Company’s stockholders for any amendment to this Plan if stockholder approval is necessary or desirable to comply with any Applicable Law or with the requirements applicable to the grant of Awards intended to be Incentive Stock Options. The Board may also, but need not, require that the Company’s stockholders approve any other amendments to this Plan.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b w:val="1"/>
          <w:bCs w:val="1"/>
          <w:color w:val="auto"/>
        </w:rPr>
        <w:t>Effect</w:t>
      </w:r>
      <w:r>
        <w:rPr>
          <w:rFonts w:ascii="Arial" w:cs="Arial" w:eastAsia="Arial" w:hAnsi="Arial"/>
          <w:sz w:val="15"/>
          <w:szCs w:val="15"/>
          <w:color w:val="auto"/>
        </w:rPr>
        <w:t>. No amendment, suspension, or termination of this Plan, and no modification of any Award even in the absence of an amendment, suspension,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126" w:name="page127"/>
    <w:bookmarkEnd w:id="12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this Plan, shall impair any existing contractual rights of any Awardee unless the affected Awardee consents to the amendment, suspension, termination, or modification. Notwithstanding anything herein to the contrary, no such consent shall be required if the Board determines, in its sole and absolute discretion, that the amendment, suspension, termination, or modification: (a) is required or advisable in order for the Company, this Plan or the Award to satisfy Applicable Law, to meet the requirements of any accounting standard or to avoid any adverse accounting treatment, or (b) in connection with any transaction or event described in Section 10, is in the best interests of the Company or its stockholders. The Board may, but need not, take the tax or accounting consequences to affected Awardees into consideration in acting under the preceding sentence. Those decisions shall be final, binding and conclusive. Termination of this Plan shall not affect the Administrator’s ability to exercise the powers granted to it under this Plan with respect to Awards granted before the termination of Award Shares issued under such Awards even if those Award Shares are issued after the termination.</w:t>
      </w:r>
    </w:p>
    <w:p>
      <w:pPr>
        <w:spacing w:after="0" w:line="18"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Reserved Rights</w:t>
      </w:r>
    </w:p>
    <w:p>
      <w:pPr>
        <w:spacing w:after="0" w:line="15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Nonexclusivity of this Plan</w:t>
      </w:r>
      <w:r>
        <w:rPr>
          <w:rFonts w:ascii="Arial" w:cs="Arial" w:eastAsia="Arial" w:hAnsi="Arial"/>
          <w:sz w:val="18"/>
          <w:szCs w:val="18"/>
          <w:color w:val="auto"/>
        </w:rPr>
        <w:t>. This Plan shall not limit the power of the Company or any Affiliate to adopt other incentive arrangements including, for example, the grant or issuance of stock options, stock, or other equity-based rights under other plans.</w:t>
      </w:r>
    </w:p>
    <w:p>
      <w:pPr>
        <w:spacing w:after="0" w:line="10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color w:val="auto"/>
        </w:rPr>
        <w:t>Unfunded Plan</w:t>
      </w:r>
      <w:r>
        <w:rPr>
          <w:rFonts w:ascii="Arial" w:cs="Arial" w:eastAsia="Arial" w:hAnsi="Arial"/>
          <w:sz w:val="16"/>
          <w:szCs w:val="16"/>
          <w:color w:val="auto"/>
        </w:rPr>
        <w:t>. This Plan shall be unfunded. Although bookkeeping accounts may be established with respect to Awardees, any such accounts will be used merely as a convenience. The Company shall not be required to segregate any assets on account of this Plan, the grant of Awards, or the issuance of Award Shares. The Company and the Administrator shall not be deemed to be a trustee of stock or cash to be awarded under this Plan. Any obligations of the Company to any Awardee shall be based solely upon contracts entered into under this Plan, such as Award Agreements. No such obligations shall be deemed to be secured by any pledge or other encumbrance on any assets of the Company. Neither the Company nor the Administrator shall be required to give any security or bond for the performance of any such obligations.</w:t>
      </w:r>
    </w:p>
    <w:p>
      <w:pPr>
        <w:spacing w:after="0" w:line="9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Special Arrangements Regarding Award Shares</w:t>
      </w:r>
    </w:p>
    <w:p>
      <w:pPr>
        <w:spacing w:after="0" w:line="7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Escrow of Stock Certificate</w:t>
      </w:r>
      <w:r>
        <w:rPr>
          <w:rFonts w:ascii="Arial" w:cs="Arial" w:eastAsia="Arial" w:hAnsi="Arial"/>
          <w:sz w:val="18"/>
          <w:szCs w:val="18"/>
          <w:color w:val="auto"/>
        </w:rPr>
        <w:t>s. To enforce any restrictions on Award Shares, the Administrator may require their holder to deposit the certificates representing Award Shares, with stock powers or other transfer instruments approved by the Administrator endorsed in blank, with the Company or an agent of the Company to hold in escrow until the restrictions have lapsed or terminated. The Administrator may also cause a legend or legends referencing the restrictions to be placed on the certificates.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15.2 </w:t>
      </w:r>
      <w:r>
        <w:rPr>
          <w:rFonts w:ascii="Arial" w:cs="Arial" w:eastAsia="Arial" w:hAnsi="Arial"/>
          <w:sz w:val="18"/>
          <w:szCs w:val="18"/>
          <w:b w:val="1"/>
          <w:bCs w:val="1"/>
          <w:color w:val="auto"/>
        </w:rPr>
        <w:t>Repurchase Rights</w:t>
      </w:r>
    </w:p>
    <w:p>
      <w:pPr>
        <w:spacing w:after="0" w:line="83" w:lineRule="exact"/>
        <w:rPr>
          <w:sz w:val="20"/>
          <w:szCs w:val="20"/>
          <w:color w:val="auto"/>
        </w:rPr>
      </w:pPr>
    </w:p>
    <w:p>
      <w:pPr>
        <w:ind w:left="460" w:right="20" w:firstLine="443"/>
        <w:spacing w:after="0" w:line="291" w:lineRule="auto"/>
        <w:tabs>
          <w:tab w:leader="none" w:pos="1137" w:val="left"/>
        </w:tabs>
        <w:numPr>
          <w:ilvl w:val="1"/>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If a Stock Award is subject to vesting conditions, the Company shall have the right, during the seven months after the Awardee’s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Termination, to repurchase any or all of the Award Shares that were unvested as of the date of that Termination. The repurchase price shall be determined by the Administrator in accordance with this Section 15.2 which shall be either (i) the Purchase Price for the Award Shares (minus the amount of any cash dividends paid or payable with respect to the Award Shares for which the record date precedes the repurchase) or (ii) the lower of (A) the Purchase Price for the Shares or (B) the Fair Market Value of those Award Shares as of the date of the Termination. The repurchase price shall be paid in cash. The Company may assign this right of repurchase.</w:t>
      </w:r>
    </w:p>
    <w:p>
      <w:pPr>
        <w:spacing w:after="0" w:line="25"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1"/>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Procedure</w:t>
      </w:r>
      <w:r>
        <w:rPr>
          <w:rFonts w:ascii="Arial" w:cs="Arial" w:eastAsia="Arial" w:hAnsi="Arial"/>
          <w:sz w:val="16"/>
          <w:szCs w:val="16"/>
          <w:color w:val="auto"/>
        </w:rPr>
        <w:t>. The Company or its assignee may choose to give the Awardee a written notice of exercise of its repurchase rights under this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15.2. However, the Company’s failure to give such a notice shall not affect its rights to repurchase Award Shares. The Company must, however, tender the repurchase price during the period specified in this Section 15.2 for exercising its repurchase rights in order to exercise such rights.</w:t>
      </w:r>
    </w:p>
    <w:p>
      <w:pPr>
        <w:spacing w:after="0" w:line="6" w:lineRule="exact"/>
        <w:rPr>
          <w:rFonts w:ascii="Arial" w:cs="Arial" w:eastAsia="Arial" w:hAnsi="Arial"/>
          <w:sz w:val="16"/>
          <w:szCs w:val="16"/>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Beneficiaries</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An Awardee may file a written designation of one or more beneficiaries who are to receive the Awardee’s rights under the Awardee’s Awards after the</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Awardee’s death. An Awardee may change such a designation at any time by written notice. If an Awardee designates a beneficiary, the beneficiary may exercise the Awardee’s Awards after the Awardee’s death. If an Awardee dies when the Awardee has no living beneficiary designated under this Plan, the Company shall allow the executor or administrator of the Awardee’s estate to exercise the Award or, if there is none, the person entitled to exercise the Option under the Awardee’s will or the laws of descent and distribution. In any case, no Award may be exercised after its Expiration Date.</w:t>
      </w:r>
    </w:p>
    <w:p>
      <w:pPr>
        <w:spacing w:after="0" w:line="1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58"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Governing Law</w:t>
      </w:r>
      <w:r>
        <w:rPr>
          <w:rFonts w:ascii="Arial" w:cs="Arial" w:eastAsia="Arial" w:hAnsi="Arial"/>
          <w:sz w:val="18"/>
          <w:szCs w:val="18"/>
          <w:color w:val="auto"/>
        </w:rPr>
        <w:t>. This Plan, the Award Agreements and all other agreements entered into under this Plan, and all actions taken under this Plan or in connection with Awards or Award Shares, shall be governed by the laws of the State of Delaware.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Determination of Value.</w:t>
      </w:r>
      <w:r>
        <w:rPr>
          <w:rFonts w:ascii="Arial" w:cs="Arial" w:eastAsia="Arial" w:hAnsi="Arial"/>
          <w:sz w:val="18"/>
          <w:szCs w:val="18"/>
          <w:color w:val="auto"/>
        </w:rPr>
        <w:t xml:space="preserve"> Fair Market Value shall be determined as follows: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274" w:right="339" w:bottom="1440" w:gutter="0" w:footer="0" w:header="0"/>
        </w:sectPr>
      </w:pPr>
    </w:p>
    <w:bookmarkStart w:id="128" w:name="page129"/>
    <w:bookmarkEnd w:id="128"/>
    <w:p>
      <w:pPr>
        <w:ind w:left="460" w:right="60" w:firstLine="443"/>
        <w:spacing w:after="0" w:line="314" w:lineRule="auto"/>
        <w:tabs>
          <w:tab w:leader="none" w:pos="1137"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Listed Stock</w:t>
      </w:r>
      <w:r>
        <w:rPr>
          <w:rFonts w:ascii="Arial" w:cs="Arial" w:eastAsia="Arial" w:hAnsi="Arial"/>
          <w:sz w:val="15"/>
          <w:szCs w:val="15"/>
          <w:color w:val="auto"/>
        </w:rPr>
        <w:t>. If the Shares are traded on any established stock exchange or quoted on a national market system, Fair Market Value shall be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closing sales price for the Shares as quoted on that stock exchange or system for the date the value is to be determined (the “</w:t>
      </w:r>
      <w:r>
        <w:rPr>
          <w:rFonts w:ascii="Arial" w:cs="Arial" w:eastAsia="Arial" w:hAnsi="Arial"/>
          <w:sz w:val="15"/>
          <w:szCs w:val="15"/>
          <w:b w:val="1"/>
          <w:bCs w:val="1"/>
          <w:i w:val="1"/>
          <w:iCs w:val="1"/>
          <w:color w:val="auto"/>
        </w:rPr>
        <w:t>Value Date</w:t>
      </w:r>
      <w:r>
        <w:rPr>
          <w:rFonts w:ascii="Arial" w:cs="Arial" w:eastAsia="Arial" w:hAnsi="Arial"/>
          <w:sz w:val="15"/>
          <w:szCs w:val="15"/>
          <w:color w:val="auto"/>
        </w:rPr>
        <w:t xml:space="preserve">”) as reported in </w:t>
      </w:r>
      <w:r>
        <w:rPr>
          <w:rFonts w:ascii="Arial" w:cs="Arial" w:eastAsia="Arial" w:hAnsi="Arial"/>
          <w:sz w:val="15"/>
          <w:szCs w:val="15"/>
          <w:i w:val="1"/>
          <w:iCs w:val="1"/>
          <w:color w:val="auto"/>
        </w:rPr>
        <w:t xml:space="preserve">TheWall Street Journal </w:t>
      </w:r>
      <w:r>
        <w:rPr>
          <w:rFonts w:ascii="Arial" w:cs="Arial" w:eastAsia="Arial" w:hAnsi="Arial"/>
          <w:sz w:val="15"/>
          <w:szCs w:val="15"/>
          <w:color w:val="auto"/>
        </w:rPr>
        <w:t>or a similar publication. If no sales are reported as having occurred on the Value Date, Fair Market Value shall be that closing sales</w:t>
      </w:r>
      <w:r>
        <w:rPr>
          <w:rFonts w:ascii="Arial" w:cs="Arial" w:eastAsia="Arial" w:hAnsi="Arial"/>
          <w:sz w:val="15"/>
          <w:szCs w:val="15"/>
          <w:i w:val="1"/>
          <w:iCs w:val="1"/>
          <w:color w:val="auto"/>
        </w:rPr>
        <w:t xml:space="preserve"> </w:t>
      </w:r>
      <w:r>
        <w:rPr>
          <w:rFonts w:ascii="Arial" w:cs="Arial" w:eastAsia="Arial" w:hAnsi="Arial"/>
          <w:sz w:val="15"/>
          <w:szCs w:val="15"/>
          <w:color w:val="auto"/>
        </w:rPr>
        <w:t>price for the last preceding trading day on which sales of Shares are reported as having occurred. If no sales are reported as having occurred during the five trading days before the Value Date, Fair Market Value shall be the closing bid for Shares on the Value Date. If Shares are listed on multiple exchanges or systems, Fair Market Value shall be based on sales or bid prices on the primary exchange or system on which Shares are traded or quoted.</w:t>
      </w:r>
    </w:p>
    <w:p>
      <w:pPr>
        <w:spacing w:after="0" w:line="10" w:lineRule="exact"/>
        <w:rPr>
          <w:rFonts w:ascii="Arial" w:cs="Arial" w:eastAsia="Arial" w:hAnsi="Arial"/>
          <w:sz w:val="15"/>
          <w:szCs w:val="15"/>
          <w:color w:val="auto"/>
        </w:rPr>
      </w:pPr>
    </w:p>
    <w:p>
      <w:pPr>
        <w:ind w:left="460" w:right="20" w:firstLine="443"/>
        <w:spacing w:after="0" w:line="256"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Stock Quoted by Securities Dealer</w:t>
      </w:r>
      <w:r>
        <w:rPr>
          <w:rFonts w:ascii="Arial" w:cs="Arial" w:eastAsia="Arial" w:hAnsi="Arial"/>
          <w:sz w:val="18"/>
          <w:szCs w:val="18"/>
          <w:color w:val="auto"/>
        </w:rPr>
        <w:t>. If Shares are regularly quoted by a recognized securities dealer but selling prices are not reported 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stock exchange or quoted on a national market system, Fair Market Value shall be the mean between the high bid and low asked prices on the Value Date. If no prices are quoted for the Value Date, Fair Market Value shall be the mean between the high bid and low asked prices on the last preceding trading day on which any bid and asked prices were quoted.</w:t>
      </w:r>
    </w:p>
    <w:p>
      <w:pPr>
        <w:spacing w:after="0" w:line="48" w:lineRule="exact"/>
        <w:rPr>
          <w:rFonts w:ascii="Arial" w:cs="Arial" w:eastAsia="Arial" w:hAnsi="Arial"/>
          <w:sz w:val="18"/>
          <w:szCs w:val="18"/>
          <w:color w:val="auto"/>
        </w:rPr>
      </w:pPr>
    </w:p>
    <w:p>
      <w:pPr>
        <w:ind w:left="460" w:firstLine="443"/>
        <w:spacing w:after="0" w:line="290" w:lineRule="auto"/>
        <w:tabs>
          <w:tab w:leader="none" w:pos="1137"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No Established Market</w:t>
      </w:r>
      <w:r>
        <w:rPr>
          <w:rFonts w:ascii="Arial" w:cs="Arial" w:eastAsia="Arial" w:hAnsi="Arial"/>
          <w:sz w:val="16"/>
          <w:szCs w:val="16"/>
          <w:color w:val="auto"/>
        </w:rPr>
        <w:t>. If Shares are not traded on any established stock exchange or quoted on a national market system and are not quoted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securities dealer, the Administrator (following guidelines established by the Board or Committee) will determine Fair Market Value in good faith. The Administrator will consider the following factors, and any others it considers significant, in determining Fair Market Value: (i) the price at which other securities of the Company have been issued to purchasers other than Employees, Directors, or Consultants, (ii) the Company’s stockholder’s equity, prospective earning power, dividend-paying capacity, and non-operating assets, if any, and (iii) any other relevant factors, including the economic outlook for the Company and the Company’s industry, the Company’s position in that industry, the Company’s goodwill and other intellectual property, and the values of securities of other businesses in the same industry.</w:t>
      </w:r>
    </w:p>
    <w:p>
      <w:pPr>
        <w:spacing w:after="0" w:line="99"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Reservation of Shares</w:t>
      </w:r>
      <w:r>
        <w:rPr>
          <w:rFonts w:ascii="Arial" w:cs="Arial" w:eastAsia="Arial" w:hAnsi="Arial"/>
          <w:sz w:val="18"/>
          <w:szCs w:val="18"/>
          <w:color w:val="auto"/>
        </w:rPr>
        <w:t>. During the term of this Plan, the Company shall at all times reserve and keep available such number of Shares as are still issuable under this Plan.</w:t>
      </w:r>
    </w:p>
    <w:p>
      <w:pPr>
        <w:spacing w:after="0" w:line="106"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color w:val="auto"/>
        </w:rPr>
        <w:t>Electronic Communications</w:t>
      </w:r>
      <w:r>
        <w:rPr>
          <w:rFonts w:ascii="Arial" w:cs="Arial" w:eastAsia="Arial" w:hAnsi="Arial"/>
          <w:sz w:val="16"/>
          <w:szCs w:val="16"/>
          <w:color w:val="auto"/>
        </w:rPr>
        <w:t>. Any Award Agreement, notice of exercise of an Award, or other document required or permitted by this Plan may be delivered in writing or, to the extent determined by the Administrator, electronically. Signatures may also be electronic if permitted by the Administrator.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29" w:name="page130"/>
    <w:bookmarkEnd w:id="129"/>
    <w:p>
      <w:pPr>
        <w:jc w:val="both"/>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17.5 </w:t>
      </w:r>
      <w:r>
        <w:rPr>
          <w:rFonts w:ascii="Arial" w:cs="Arial" w:eastAsia="Arial" w:hAnsi="Arial"/>
          <w:sz w:val="18"/>
          <w:szCs w:val="18"/>
          <w:b w:val="1"/>
          <w:bCs w:val="1"/>
          <w:color w:val="auto"/>
        </w:rPr>
        <w:t>Notices</w:t>
      </w:r>
      <w:r>
        <w:rPr>
          <w:rFonts w:ascii="Arial" w:cs="Arial" w:eastAsia="Arial" w:hAnsi="Arial"/>
          <w:sz w:val="18"/>
          <w:szCs w:val="18"/>
          <w:color w:val="auto"/>
        </w:rPr>
        <w:t>. Unless the Administrator specifies otherwise, any notice to the Company under any Option Agreement or with respect to any Awards or Award Shares shall be in writing (or, if so authorized by Section 17.4, communicated electronically), shall be addressed to the Secretary of the Company, and shall only be effective when received by the Secretary of the Company.</w:t>
      </w: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240" w:top="274" w:right="5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Ernst &amp; Young LLP, Independent Auditors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20, 2004, except for Note 11, as to which the date is March 11, 2004, in Amendment No. 2 to the Registration Statement (Form S-1 No. 333-112676) and related Prospectus of Corcept Therapeutics Incorporated for the registration of 5,750,000 shares of its common stock.</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7,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lowerLetter"/>
      <w:start w:val="3"/>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lvl>
    <w:lvl w:ilvl="1">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8"/>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1."/>
      <w:numFmt w:val="decimal"/>
      <w:start w:val="2"/>
    </w:lvl>
  </w:abstractNum>
  <w:abstractNum w:abstractNumId="50">
    <w:nsid w:val="168E121F"/>
    <w:multiLevelType w:val="hybridMultilevel"/>
    <w:lvl w:ilvl="0">
      <w:lvlJc w:val="left"/>
      <w:lvlText w:val="%1."/>
      <w:numFmt w:val="decimal"/>
      <w:start w:val="7"/>
    </w:lvl>
  </w:abstractNum>
  <w:abstractNum w:abstractNumId="51">
    <w:nsid w:val="1EBA5D23"/>
    <w:multiLevelType w:val="hybridMultilevel"/>
    <w:lvl w:ilvl="0">
      <w:lvlJc w:val="left"/>
      <w:lvlText w:val="%1."/>
      <w:numFmt w:val="decimal"/>
      <w:start w:val="11"/>
    </w:lvl>
  </w:abstractNum>
  <w:abstractNum w:abstractNumId="52">
    <w:nsid w:val="661E3F1E"/>
    <w:multiLevelType w:val="hybridMultilevel"/>
    <w:lvl w:ilvl="0">
      <w:lvlJc w:val="left"/>
      <w:lvlText w:val="(%1)"/>
      <w:numFmt w:val="upperLetter"/>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2"/>
    </w:lvl>
    <w:lvl w:ilvl="1">
      <w:lvlJc w:val="left"/>
      <w:lvlText w:val="(%2)"/>
      <w:numFmt w:val="lowerLetter"/>
      <w:start w:val="1"/>
    </w:lvl>
  </w:abstractNum>
  <w:abstractNum w:abstractNumId="58">
    <w:nsid w:val="BF72B14"/>
    <w:multiLevelType w:val="hybridMultilevel"/>
    <w:lvl w:ilvl="0">
      <w:lvlJc w:val="left"/>
      <w:lvlText w:val="(%1)"/>
      <w:numFmt w:val="lowerLetter"/>
      <w:start w:val="8"/>
    </w:lvl>
  </w:abstractNum>
  <w:abstractNum w:abstractNumId="59">
    <w:nsid w:val="11447B73"/>
    <w:multiLevelType w:val="hybridMultilevel"/>
    <w:lvl w:ilvl="0">
      <w:lvlJc w:val="left"/>
      <w:lvlText w:val="(%1)"/>
      <w:numFmt w:val="lowerLetter"/>
      <w:start w:val="20"/>
    </w:lvl>
  </w:abstractNum>
  <w:abstractNum w:abstractNumId="60">
    <w:nsid w:val="42963E5A"/>
    <w:multiLevelType w:val="hybridMultilevel"/>
    <w:lvl w:ilvl="0">
      <w:lvlJc w:val="left"/>
      <w:lvlText w:val="(%1)"/>
      <w:numFmt w:val="lowerLetter"/>
      <w:start w:val="27"/>
    </w:lvl>
  </w:abstractNum>
  <w:abstractNum w:abstractNumId="61">
    <w:nsid w:val="A0382C5"/>
    <w:multiLevelType w:val="hybridMultilevel"/>
    <w:lvl w:ilvl="0">
      <w:lvlJc w:val="left"/>
      <w:lvlText w:val="(%1)"/>
      <w:numFmt w:val="lowerLetter"/>
      <w:start w:val="28"/>
    </w:lvl>
  </w:abstractNum>
  <w:abstractNum w:abstractNumId="62">
    <w:nsid w:val="8F2B15E"/>
    <w:multiLevelType w:val="hybridMultilevel"/>
    <w:lvl w:ilvl="0">
      <w:lvlJc w:val="left"/>
      <w:lvlText w:val="(%1)"/>
      <w:numFmt w:val="lowerLetter"/>
      <w:start w:val="39"/>
    </w:lvl>
  </w:abstractNum>
  <w:abstractNum w:abstractNumId="63">
    <w:nsid w:val="1A32234B"/>
    <w:multiLevelType w:val="hybridMultilevel"/>
    <w:lvl w:ilvl="0">
      <w:lvlJc w:val="left"/>
      <w:lvlText w:val="%1."/>
      <w:numFmt w:val="decimal"/>
      <w:start w:val="3"/>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decimal"/>
      <w:start w:val="4"/>
    </w:lvl>
    <w:lvl w:ilvl="1">
      <w:lvlJc w:val="left"/>
      <w:lvlText w:val="(%2)"/>
      <w:numFmt w:val="lowerLetter"/>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Letter"/>
      <w:start w:val="8"/>
    </w:lvl>
  </w:abstractNum>
  <w:abstractNum w:abstractNumId="68">
    <w:nsid w:val="6A5EE64"/>
    <w:multiLevelType w:val="hybridMultilevel"/>
    <w:lvl w:ilvl="0">
      <w:lvlJc w:val="left"/>
      <w:lvlText w:val="%1."/>
      <w:numFmt w:val="decimal"/>
      <w:start w:val="5"/>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decimal"/>
      <w:start w:val="6"/>
    </w:lvl>
  </w:abstractNum>
  <w:abstractNum w:abstractNumId="71">
    <w:nsid w:val="1A27709E"/>
    <w:multiLevelType w:val="hybridMultilevel"/>
    <w:lvl w:ilvl="0">
      <w:lvlJc w:val="left"/>
      <w:lvlText w:val="(%1)"/>
      <w:numFmt w:val="lowerLetter"/>
      <w:start w:val="1"/>
    </w:lvl>
    <w:lvl w:ilvl="1">
      <w:lvlJc w:val="left"/>
      <w:lvlText w:val="(%2)"/>
      <w:numFmt w:val="lowerLetter"/>
      <w:start w:val="9"/>
    </w:lvl>
  </w:abstractNum>
  <w:abstractNum w:abstractNumId="72">
    <w:nsid w:val="71EA1109"/>
    <w:multiLevelType w:val="hybridMultilevel"/>
    <w:lvl w:ilvl="0">
      <w:lvlJc w:val="left"/>
      <w:lvlText w:val="%1"/>
      <w:numFmt w:val="lowerLetter"/>
      <w:start w:val="1"/>
    </w:lvl>
    <w:lvl w:ilvl="1">
      <w:lvlJc w:val="left"/>
      <w:lvlText w:val="(%2)"/>
      <w:numFmt w:val="lowerRoman"/>
      <w:start w:val="2"/>
    </w:lvl>
  </w:abstractNum>
  <w:abstractNum w:abstractNumId="73">
    <w:nsid w:val="100F59DC"/>
    <w:multiLevelType w:val="hybridMultilevel"/>
    <w:lvl w:ilvl="0">
      <w:lvlJc w:val="left"/>
      <w:lvlText w:val="(%1)"/>
      <w:numFmt w:val="lowerLetter"/>
      <w:start w:val="4"/>
    </w:lvl>
    <w:lvl w:ilvl="1">
      <w:lvlJc w:val="left"/>
      <w:lvlText w:val="%2"/>
      <w:numFmt w:val="lowerRoman"/>
      <w:start w:val="1"/>
    </w:lvl>
  </w:abstractNum>
  <w:abstractNum w:abstractNumId="74">
    <w:nsid w:val="7FB7E0AA"/>
    <w:multiLevelType w:val="hybridMultilevel"/>
    <w:lvl w:ilvl="0">
      <w:lvlJc w:val="left"/>
      <w:lvlText w:val="%1."/>
      <w:numFmt w:val="decimal"/>
      <w:start w:val="7"/>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decimal"/>
      <w:start w:val="1"/>
    </w:lvl>
    <w:lvl w:ilvl="1">
      <w:lvlJc w:val="left"/>
      <w:lvlText w:val="(%2)"/>
      <w:numFmt w:val="lowerLetter"/>
      <w:start w:val="7"/>
    </w:lvl>
  </w:abstractNum>
  <w:abstractNum w:abstractNumId="77">
    <w:nsid w:val="94211F2"/>
    <w:multiLevelType w:val="hybridMultilevel"/>
    <w:lvl w:ilvl="0">
      <w:lvlJc w:val="left"/>
      <w:lvlText w:val="%1."/>
      <w:numFmt w:val="decimal"/>
      <w:start w:val="8"/>
    </w:lvl>
    <w:lvl w:ilvl="1">
      <w:lvlJc w:val="left"/>
      <w:lvlText w:val="(%2)"/>
      <w:numFmt w:val="lowerLetter"/>
      <w:start w:val="1"/>
    </w:lvl>
  </w:abstractNum>
  <w:abstractNum w:abstractNumId="78">
    <w:nsid w:val="885E1B"/>
    <w:multiLevelType w:val="hybridMultilevel"/>
    <w:lvl w:ilvl="0">
      <w:lvlJc w:val="left"/>
      <w:lvlText w:val="(%1)"/>
      <w:numFmt w:val="lowerLetter"/>
      <w:start w:val="3"/>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2"/>
    </w:lvl>
  </w:abstractNum>
  <w:abstractNum w:abstractNumId="81">
    <w:nsid w:val="1716703B"/>
    <w:multiLevelType w:val="hybridMultilevel"/>
    <w:lvl w:ilvl="0">
      <w:lvlJc w:val="left"/>
      <w:lvlText w:val="%1."/>
      <w:numFmt w:val="decimal"/>
      <w:start w:val="9"/>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4">
    <w:nsid w:val="74DE0EE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5">
    <w:nsid w:val="68EBC550"/>
    <w:multiLevelType w:val="hybridMultilevel"/>
    <w:lvl w:ilvl="0">
      <w:lvlJc w:val="left"/>
      <w:lvlText w:val="%1."/>
      <w:numFmt w:val="decimal"/>
      <w:start w:val="11"/>
    </w:lvl>
    <w:lvl w:ilvl="1">
      <w:lvlJc w:val="left"/>
      <w:lvlText w:val="(%2)"/>
      <w:numFmt w:val="lowerLetter"/>
      <w:start w:val="1"/>
    </w:lvl>
  </w:abstractNum>
  <w:abstractNum w:abstractNumId="86">
    <w:nsid w:val="2DF6D648"/>
    <w:multiLevelType w:val="hybridMultilevel"/>
    <w:lvl w:ilvl="0">
      <w:lvlJc w:val="left"/>
      <w:lvlText w:val="%1."/>
      <w:numFmt w:val="decimal"/>
      <w:start w:val="12"/>
    </w:lvl>
  </w:abstractNum>
  <w:abstractNum w:abstractNumId="87">
    <w:nsid w:val="46B7D447"/>
    <w:multiLevelType w:val="hybridMultilevel"/>
    <w:lvl w:ilvl="0">
      <w:lvlJc w:val="left"/>
      <w:lvlText w:val="%1."/>
      <w:numFmt w:val="decimal"/>
      <w:start w:val="13"/>
    </w:lvl>
  </w:abstractNum>
  <w:abstractNum w:abstractNumId="88">
    <w:nsid w:val="4A2AC315"/>
    <w:multiLevelType w:val="hybridMultilevel"/>
    <w:lvl w:ilvl="0">
      <w:lvlJc w:val="left"/>
      <w:lvlText w:val="%1."/>
      <w:numFmt w:val="decimal"/>
      <w:start w:val="14"/>
    </w:lvl>
  </w:abstractNum>
  <w:abstractNum w:abstractNumId="89">
    <w:nsid w:val="39EE015C"/>
    <w:multiLevelType w:val="hybridMultilevel"/>
    <w:lvl w:ilvl="0">
      <w:lvlJc w:val="left"/>
      <w:lvlText w:val="%1."/>
      <w:numFmt w:val="decimal"/>
      <w:start w:val="15"/>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6"/>
    </w:lvl>
    <w:lvl w:ilvl="1">
      <w:lvlJc w:val="left"/>
      <w:lvlText w:val="%2"/>
      <w:numFmt w:val="lowerLetter"/>
      <w:start w:val="1"/>
    </w:lvl>
  </w:abstractNum>
  <w:abstractNum w:abstractNumId="92">
    <w:nsid w:val="43F18422"/>
    <w:multiLevelType w:val="hybridMultilevel"/>
    <w:lvl w:ilvl="0">
      <w:lvlJc w:val="left"/>
      <w:lvlText w:val="%1."/>
      <w:numFmt w:val="decimal"/>
      <w:start w:val="17"/>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2019-12-14T23:34:40Z</dcterms:created>
  <dcterms:modified xsi:type="dcterms:W3CDTF">2019-12-14T23:34:40Z</dcterms:modified>
</cp:coreProperties>
</file>