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WILSON JAMES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1"/>
        <w:gridCol w:w="927"/>
        <w:gridCol w:w="796"/>
        <w:gridCol w:w="615"/>
        <w:gridCol w:w="340"/>
        <w:gridCol w:w="808"/>
        <w:gridCol w:w="417"/>
        <w:gridCol w:w="1104"/>
        <w:gridCol w:w="1251"/>
        <w:gridCol w:w="964"/>
        <w:gridCol w:w="10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110.2698</w:t>
            </w:r>
            <w:r>
              <w:rPr>
                <w:rFonts w:ascii="Times;serif" w:hAnsi="Times;serif"/>
                <w:color w:val="008000"/>
                <w:position w:val="7"/>
                <w:sz w:val="16"/>
                <w:sz w:val="20"/>
                <w:shd w:fill="FFFFFF" w:val="clear"/>
              </w:rPr>
              <w:t>(2)</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1,067,743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James N. Wilson and Pamela D. Wilson Trust</w:t>
            </w:r>
            <w:r>
              <w:rPr>
                <w:rFonts w:ascii="Times;serif" w:hAnsi="Times;serif"/>
                <w:color w:val="008000"/>
                <w:position w:val="7"/>
                <w:sz w:val="16"/>
                <w:sz w:val="20"/>
                <w:shd w:fill="FFFFFF" w:val="clear"/>
              </w:rPr>
              <w:t>(5)</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110.8363</w:t>
            </w:r>
            <w:r>
              <w:rPr>
                <w:rFonts w:ascii="Times;serif" w:hAnsi="Times;serif"/>
                <w:color w:val="008000"/>
                <w:position w:val="7"/>
                <w:sz w:val="16"/>
                <w:sz w:val="20"/>
                <w:shd w:fill="FFFFFF" w:val="clear"/>
              </w:rPr>
              <w:t>(3)</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1,067,343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James N. Wilson and Pamela D. Wilson Trust</w:t>
            </w:r>
            <w:r>
              <w:rPr>
                <w:rFonts w:ascii="Times;serif" w:hAnsi="Times;serif"/>
                <w:color w:val="008000"/>
                <w:position w:val="7"/>
                <w:sz w:val="16"/>
                <w:sz w:val="20"/>
                <w:shd w:fill="FFFFFF" w:val="clear"/>
              </w:rPr>
              <w:t>(5)</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111.7039</w:t>
            </w:r>
            <w:r>
              <w:rPr>
                <w:rFonts w:ascii="Times;serif" w:hAnsi="Times;serif"/>
                <w:color w:val="008000"/>
                <w:position w:val="7"/>
                <w:sz w:val="16"/>
                <w:sz w:val="20"/>
                <w:shd w:fill="FFFFFF" w:val="clear"/>
              </w:rPr>
              <w:t>(4)</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1,064,543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James N. Wilson and Pamela D. Wilson Trust</w:t>
            </w:r>
            <w:r>
              <w:rPr>
                <w:rFonts w:ascii="Times;serif" w:hAnsi="Times;serif"/>
                <w:color w:val="008000"/>
                <w:position w:val="7"/>
                <w:sz w:val="16"/>
                <w:sz w:val="20"/>
                <w:shd w:fill="FFFFFF" w:val="clear"/>
              </w:rPr>
              <w:t>(5)</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James N. Wilson 2025 Grantor Retained Annuity Trust</w:t>
            </w:r>
          </w:p>
        </w:tc>
      </w:tr>
      <w:tr>
        <w:trPr/>
        <w:tc>
          <w:tcPr>
            <w:tcW w:w="19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Pamela D. Wilson 2025 Grantor Retained Annuity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10b5-1 plan adopted by the Reporting Person on March 12, 2026 in effect at the time of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for the entire number of shares sold. The actual sale prices range from $109.66 to $110.64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for the entire number of shares sold. The actual sale prices range from $110.665 to $111.095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for the entire number of shares sold. The actual sale prices range from $111.70 to $111.705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Reporting Person has voting power over the shares held by the James N. Wilson and Pamela D. Wilson Trust pursuant to voting agreements and disclaims beneficial ownership of all of such shares,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James N. Wilson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36387"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858</Words>
  <Characters>4531</Characters>
  <CharactersWithSpaces>5289</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