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Maduck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5"/>
        <w:gridCol w:w="924"/>
        <w:gridCol w:w="794"/>
        <w:gridCol w:w="614"/>
        <w:gridCol w:w="340"/>
        <w:gridCol w:w="908"/>
        <w:gridCol w:w="417"/>
        <w:gridCol w:w="1101"/>
        <w:gridCol w:w="1110"/>
        <w:gridCol w:w="963"/>
        <w:gridCol w:w="10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8.27</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10,351</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115.5373</w:t>
            </w:r>
            <w:r>
              <w:rPr>
                <w:rFonts w:ascii="Times;serif" w:hAnsi="Times;serif"/>
                <w:color w:val="008000"/>
                <w:position w:val="7"/>
                <w:sz w:val="16"/>
                <w:sz w:val="20"/>
                <w:shd w:fill="FFFFFF" w:val="clear"/>
              </w:rPr>
              <w:t>(3)</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9,938</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24,587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8.27</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34,525</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15,843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116.1233</w:t>
            </w:r>
            <w:r>
              <w:rPr>
                <w:rFonts w:ascii="Times;serif" w:hAnsi="Times;serif"/>
                <w:color w:val="008000"/>
                <w:position w:val="7"/>
                <w:sz w:val="16"/>
                <w:sz w:val="20"/>
                <w:shd w:fill="FFFFFF" w:val="clear"/>
              </w:rPr>
              <w:t>(4)</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18,682</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116.5534</w:t>
            </w:r>
            <w:r>
              <w:rPr>
                <w:rFonts w:ascii="Times;serif" w:hAnsi="Times;serif"/>
                <w:color w:val="008000"/>
                <w:position w:val="7"/>
                <w:sz w:val="16"/>
                <w:sz w:val="20"/>
                <w:shd w:fill="FFFFFF" w:val="clear"/>
              </w:rPr>
              <w:t>(5)</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9,938</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5,147</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20,570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1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66,573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24,587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41,986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205 shares underlying unvested restricted stock awards granted to the Reporting Person by the Issuer on December 1, 2025, 454 shares underlying unvested restricted stock awards granted to the Reporting Person by the Issuer on March 2, 2026, 615 shares underlying unvested restricted stock awards granted to the Reporting Person by the Issuer on June 1, 2026 and 150 shares underlying unvested restricted stock awards granted to the Reporting Person by the Issuer on September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December 8, 2025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$115.30 to $115.615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$115.38 to $116.36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for the entire number of shares sold. The actual sale prices range from $116.39 to $117.22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shares held by Sean and Molly Maduck Living Trust of which the Reporting Person is a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shares held by MMM 2025, LLC of which the Reporting Person is a member and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shares held by SNM 2025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the shares held by SNM 2026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the shares held by Duckhill Capital, LLC of which the Reporting Person is President and disclaims beneficial ownership of the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Corcept Endocrinology 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Sean Maduck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8310"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1072</Words>
  <Characters>5665</Characters>
  <CharactersWithSpaces>6581</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