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Guyer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CORCEPT THERAPEUTICS INCORPORATED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REDWOOD SHORES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CORCEPT THERAPEUTICS INC</w:t>
              </w:r>
            </w:hyperlink>
            <w:r>
              <w:rPr/>
              <w:t xml:space="preserve"> [ </w:t>
            </w:r>
            <w:r>
              <w:rPr>
                <w:rFonts w:ascii="Times;serif" w:hAnsi="Times;serif"/>
                <w:color w:val="0000FF"/>
                <w:sz w:val="24"/>
                <w:shd w:fill="FFFFFF" w:val="clear"/>
              </w:rPr>
              <w:t>CORT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Development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21.65</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23,985</w:t>
            </w:r>
            <w:r>
              <w:rPr>
                <w:rFonts w:ascii="Times;serif" w:hAnsi="Times;serif"/>
                <w:color w:val="008000"/>
                <w:position w:val="7"/>
                <w:sz w:val="16"/>
                <w:sz w:val="20"/>
                <w:shd w:fill="FFFFFF" w:val="clear"/>
              </w:rPr>
              <w:t>(1)</w:t>
            </w:r>
            <w:r>
              <w:rPr/>
              <w:t xml:space="preserve"> </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70.6</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3,985</w:t>
            </w:r>
            <w:r>
              <w:rPr>
                <w:rFonts w:ascii="Times;serif" w:hAnsi="Times;serif"/>
                <w:color w:val="008000"/>
                <w:position w:val="7"/>
                <w:sz w:val="16"/>
                <w:sz w:val="20"/>
                <w:shd w:fill="FFFFFF" w:val="clear"/>
              </w:rPr>
              <w:t>(1)</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21.65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224 shares underlying unvested restricted stock awards granted to the Reporting Person by the Issuer on December 1, 2025, 498 shares underlying unvested restricted stock awards granted to the Reporting Person by the Issuer on March 2, 2026 and 877 shares underlying unvested restricted stock awards granted to the Reporting Person by the Issuer on June 1, 2026. 100% of the shares underlying the restricted stock awards will vest on the one-year anniversary of the grant date provided the Reporting Person satisfies certain requirements.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10b5-1 plan adopted by the Reporting Person on November 27, 2024 in effect at the time of this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for the entire number of shares sold. The actual sale prices range from $70.44 to $70.86 per share. Information on the exact number of shares sold at each sale price can be obtained from the Issuer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Fully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power of attorney under which this form was signed is on file with the Commission.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Douglas Lyon, as attorney-in-fact for William Guyer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79013" TargetMode="External"/><Relationship Id="rId5" Type="http://schemas.openxmlformats.org/officeDocument/2006/relationships/hyperlink" Target="http://www.sec.gov/cgi-bin/browse-edgar?action=getcompany&amp;CIK=0001088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4159</Characters>
  <CharactersWithSpaces>4853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