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49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4990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792"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Guyer William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620"/>
        <w:spacing w:after="0" w:line="304" w:lineRule="auto"/>
        <w:rPr>
          <w:sz w:val="20"/>
          <w:szCs w:val="20"/>
          <w:color w:val="auto"/>
        </w:rPr>
      </w:pPr>
      <w:r>
        <w:rPr>
          <w:rFonts w:ascii="Times New Roman" w:cs="Times New Roman" w:eastAsia="Times New Roman" w:hAnsi="Times New Roman"/>
          <w:sz w:val="16"/>
          <w:szCs w:val="16"/>
          <w:color w:val="0000FF"/>
        </w:rPr>
        <w:t>C/O CORCEPT THERAPEUTICS INCORPORATED</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REDWOOD SHORES PARKWAY</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tcPr>
          <w:p>
            <w:pPr>
              <w:jc w:val="right"/>
              <w:ind w:right="562"/>
              <w:spacing w:after="0"/>
              <w:rPr>
                <w:sz w:val="20"/>
                <w:szCs w:val="20"/>
                <w:color w:val="auto"/>
              </w:rPr>
            </w:pPr>
            <w:r>
              <w:rPr>
                <w:rFonts w:ascii="Arial" w:cs="Arial" w:eastAsia="Arial" w:hAnsi="Arial"/>
                <w:sz w:val="13"/>
                <w:szCs w:val="13"/>
                <w:color w:val="auto"/>
                <w:w w:val="96"/>
              </w:rPr>
              <w:t>(Street)</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080" w:type="dxa"/>
            <w:vAlign w:val="bottom"/>
          </w:tcPr>
          <w:p>
            <w:pPr>
              <w:jc w:val="right"/>
              <w:ind w:right="102"/>
              <w:spacing w:after="0"/>
              <w:rPr>
                <w:sz w:val="20"/>
                <w:szCs w:val="20"/>
                <w:color w:val="auto"/>
              </w:rPr>
            </w:pPr>
            <w:r>
              <w:rPr>
                <w:rFonts w:ascii="Times New Roman" w:cs="Times New Roman" w:eastAsia="Times New Roman" w:hAnsi="Times New Roman"/>
                <w:sz w:val="17"/>
                <w:szCs w:val="17"/>
                <w:color w:val="0000FF"/>
              </w:rPr>
              <w:t>REDWOOD</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15"/>
        </w:trPr>
        <w:tc>
          <w:tcPr>
            <w:tcW w:w="1080" w:type="dxa"/>
            <w:vAlign w:val="bottom"/>
            <w:vMerge w:val="restart"/>
          </w:tcPr>
          <w:p>
            <w:pPr>
              <w:jc w:val="right"/>
              <w:ind w:right="562"/>
              <w:spacing w:after="0"/>
              <w:rPr>
                <w:sz w:val="20"/>
                <w:szCs w:val="20"/>
                <w:color w:val="auto"/>
              </w:rPr>
            </w:pPr>
            <w:r>
              <w:rPr>
                <w:rFonts w:ascii="Times New Roman" w:cs="Times New Roman" w:eastAsia="Times New Roman" w:hAnsi="Times New Roman"/>
                <w:sz w:val="17"/>
                <w:szCs w:val="17"/>
                <w:color w:val="0000FF"/>
              </w:rPr>
              <w:t>CITY</w:t>
            </w: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CORCEPT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CORT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r>
      <w:tr>
        <w:trPr>
          <w:trHeight w:val="153"/>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48"/>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8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43" w:lineRule="exact"/>
              <w:rPr>
                <w:sz w:val="20"/>
                <w:szCs w:val="20"/>
                <w:color w:val="auto"/>
              </w:rPr>
            </w:pPr>
            <w:r>
              <w:rPr>
                <w:rFonts w:ascii="Arial" w:cs="Arial" w:eastAsia="Arial" w:hAnsi="Arial"/>
                <w:sz w:val="13"/>
                <w:szCs w:val="13"/>
                <w:color w:val="auto"/>
              </w:rPr>
              <w:t>below)</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31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Chief Development Officer</w:t>
            </w: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03/04/2026</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1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6" w:right="359" w:bottom="792" w:gutter="0" w:footer="0" w:header="0"/>
          <w:type w:val="continuous"/>
        </w:sectPr>
      </w:pPr>
    </w:p>
    <w:p>
      <w:pPr>
        <w:spacing w:after="0" w:line="5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03/04/2026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8,233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21.65</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7"/>
                <w:szCs w:val="17"/>
                <w:color w:val="0000FF"/>
              </w:rPr>
              <w:t>10,464</w:t>
            </w:r>
            <w:r>
              <w:rPr>
                <w:rFonts w:ascii="Times New Roman" w:cs="Times New Roman" w:eastAsia="Times New Roman" w:hAnsi="Times New Roman"/>
                <w:sz w:val="21"/>
                <w:szCs w:val="21"/>
                <w:color w:val="008000"/>
                <w:vertAlign w:val="superscript"/>
              </w:rPr>
              <w:t>(1)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rPr>
              <w:t>03/04/2026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8,233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35.9949</w:t>
            </w:r>
            <w:r>
              <w:rPr>
                <w:rFonts w:ascii="Times New Roman" w:cs="Times New Roman" w:eastAsia="Times New Roman" w:hAnsi="Times New Roman"/>
                <w:sz w:val="21"/>
                <w:szCs w:val="21"/>
                <w:color w:val="008000"/>
                <w:w w:val="96"/>
                <w:vertAlign w:val="superscript"/>
              </w:rPr>
              <w:t>(3)</w:t>
            </w:r>
          </w:p>
        </w:tc>
        <w:tc>
          <w:tcPr>
            <w:tcW w:w="1220" w:type="dxa"/>
            <w:vAlign w:val="bottom"/>
            <w:tcBorders>
              <w:bottom w:val="single" w:sz="8" w:color="2C2C2C"/>
            </w:tcBorders>
            <w:gridSpan w:val="3"/>
          </w:tcPr>
          <w:p>
            <w:pPr>
              <w:jc w:val="center"/>
              <w:ind w:right="281"/>
              <w:spacing w:after="0"/>
              <w:rPr>
                <w:sz w:val="20"/>
                <w:szCs w:val="20"/>
                <w:color w:val="auto"/>
              </w:rPr>
            </w:pPr>
            <w:r>
              <w:rPr>
                <w:rFonts w:ascii="Times New Roman" w:cs="Times New Roman" w:eastAsia="Times New Roman" w:hAnsi="Times New Roman"/>
                <w:sz w:val="17"/>
                <w:szCs w:val="17"/>
                <w:color w:val="0000FF"/>
              </w:rPr>
              <w:t>2,231</w:t>
            </w:r>
            <w:r>
              <w:rPr>
                <w:rFonts w:ascii="Times New Roman" w:cs="Times New Roman" w:eastAsia="Times New Roman" w:hAnsi="Times New Roman"/>
                <w:sz w:val="21"/>
                <w:szCs w:val="21"/>
                <w:color w:val="008000"/>
                <w:vertAlign w:val="superscript"/>
              </w:rPr>
              <w:t>(1)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21.65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03/04/2026</w:t>
            </w:r>
          </w:p>
        </w:tc>
        <w:tc>
          <w:tcPr>
            <w:tcW w:w="1100" w:type="dxa"/>
            <w:vAlign w:val="bottom"/>
          </w:tcPr>
          <w:p>
            <w:pPr>
              <w:spacing w:after="0"/>
              <w:rPr>
                <w:sz w:val="16"/>
                <w:szCs w:val="16"/>
                <w:color w:val="auto"/>
              </w:rPr>
            </w:pPr>
          </w:p>
        </w:tc>
        <w:tc>
          <w:tcPr>
            <w:tcW w:w="42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8,233</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09/01/2031</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8,233</w:t>
            </w:r>
          </w:p>
        </w:tc>
        <w:tc>
          <w:tcPr>
            <w:tcW w:w="160" w:type="dxa"/>
            <w:vAlign w:val="bottom"/>
          </w:tcPr>
          <w:p>
            <w:pPr>
              <w:spacing w:after="0"/>
              <w:rPr>
                <w:sz w:val="16"/>
                <w:szCs w:val="16"/>
                <w:color w:val="auto"/>
              </w:rPr>
            </w:pPr>
          </w:p>
        </w:tc>
        <w:tc>
          <w:tcPr>
            <w:tcW w:w="520" w:type="dxa"/>
            <w:vAlign w:val="bottom"/>
            <w:gridSpan w:val="2"/>
          </w:tcPr>
          <w:p>
            <w:pPr>
              <w:jc w:val="right"/>
              <w:ind w:right="1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70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9"/>
              </w:rPr>
              <w:t>221,767</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224 shares underlying unvested restricted stock awards granted to the Reporting Person by the Issuer on December 1, 2025 and 498 shares underlying unvested restricted stock awards granted to the Reporting Person by the Issuer on March 2, 2026. 100% of the shares underlying the restricted stock awards will vest on the one-year anniversary of the grant date provided the Reporting Person satisfies certain requirements.</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10b5-1 plan adopted by the Reporting Person on November 27, 2024 in effect at the time of this transaction.</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for the entire number of shares sold. The actual sale prices range from $35.97 to $36.05 per share. Information on the exact number of shares sold at each sale price can be obtained from the Issuer upon request.</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exercisable.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under which this form was signed is on file with the Commission.</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Joseph Douglas Lyon,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93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380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William</w:t>
      </w:r>
      <w:r>
        <w:rPr>
          <w:sz w:val="20"/>
          <w:szCs w:val="20"/>
          <w:color w:val="auto"/>
        </w:rPr>
        <w:tab/>
      </w:r>
      <w:r>
        <w:rPr>
          <w:rFonts w:ascii="Times New Roman" w:cs="Times New Roman" w:eastAsia="Times New Roman" w:hAnsi="Times New Roman"/>
          <w:sz w:val="16"/>
          <w:szCs w:val="16"/>
          <w:color w:val="0000FF"/>
        </w:rPr>
        <w:t>03/06/2026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Guyer.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88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9013" TargetMode="External"/><Relationship Id="rId14" Type="http://schemas.openxmlformats.org/officeDocument/2006/relationships/hyperlink" Target="http://www.sec.gov/cgi-bin/browse-edgar?action=getcompany&amp;CIK=0001088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2026-03-06T15:36:41Z</dcterms:created>
  <dcterms:modified xsi:type="dcterms:W3CDTF">2026-03-06T15:36:41Z</dcterms:modified>
</cp:coreProperties>
</file>