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Lyon Joseph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6,493</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115.3985</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5,683</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9,040</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14,873</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115.697</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10,427</w:t>
            </w:r>
            <w:r>
              <w:rPr>
                <w:rFonts w:ascii="Times;serif" w:hAnsi="Times;serif"/>
                <w:color w:val="008000"/>
                <w:position w:val="7"/>
                <w:sz w:val="16"/>
                <w:sz w:val="20"/>
                <w:shd w:fill="FFFFFF" w:val="clear"/>
              </w:rPr>
              <w:t>(1)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4,744</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116.5407</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5,683</w:t>
            </w:r>
            <w:r>
              <w:rPr>
                <w:rFonts w:ascii="Times;serif" w:hAnsi="Times;serif"/>
                <w:color w:val="008000"/>
                <w:position w:val="7"/>
                <w:sz w:val="16"/>
                <w:sz w:val="20"/>
                <w:shd w:fill="FFFFFF" w:val="clear"/>
              </w:rPr>
              <w:t>(1)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44,167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178 shares underlying unvested restricted stock awards granted to the Reporting Person by the Issuer on December 1, 2025, 398 shares underlying unvested restricted stock awards granted to the Reporting Person by the Issuer on March 2, 2026, 537 shares underlying unvested restricted stock awards granted to the Reporting Person by the Issuer on June 1, 2026 and 130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June 10,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$115.23 to $115.615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$115.23 to $116.21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$116.25 to $116.98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Accounting &amp; Technology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838"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4979</Characters>
  <CharactersWithSpaces>5767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