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2041" w:type="dxa"/>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1"/>
        <w:gridCol w:w="3062"/>
        <w:gridCol w:w="2551"/>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Gunn Justin Frederick</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CORCEPT THERAPEUTICS INCORPORATED</w:t>
                  </w:r>
                </w:p>
              </w:tc>
            </w:tr>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101 REDWOOD SHORES PARKWAY</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REDWOOD CITY</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94065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10/01/2026</w:t>
            </w:r>
          </w:p>
        </w:tc>
        <w:tc>
          <w:tcPr>
            <w:tcW w:w="5613"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CORCEPT THERAPEUTICS INC</w:t>
              </w:r>
            </w:hyperlink>
            <w:r>
              <w:rPr/>
              <w:t xml:space="preserve"> [ </w:t>
            </w:r>
            <w:r>
              <w:rPr>
                <w:rFonts w:ascii="Times;serif" w:hAnsi="Times;serif"/>
                <w:color w:val="0000FF"/>
                <w:sz w:val="24"/>
                <w:shd w:fill="FFFFFF" w:val="clear"/>
              </w:rPr>
              <w:t>CORT</w:t>
            </w:r>
            <w:r>
              <w:rPr/>
              <w:t xml:space="preserve"> ] </w:t>
              <w:br/>
            </w:r>
            <w:r>
              <w:rPr>
                <w:rFonts w:ascii="arial;helvetica;sans-serif" w:hAnsi="arial;helvetica;sans-serif"/>
                <w:sz w:val="20"/>
              </w:rPr>
              <w:t>Foreign Trading Symbol</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2"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See Remarks</w:t>
                  </w:r>
                </w:p>
              </w:tc>
            </w:tr>
          </w:tbl>
          <w:p>
            <w:pPr>
              <w:pStyle w:val="TableContents"/>
              <w:bidi w:val="0"/>
              <w:spacing w:before="0" w:after="283"/>
              <w:jc w:val="left"/>
              <w:rPr>
                <w:sz w:val="4"/>
                <w:szCs w:val="4"/>
              </w:rPr>
            </w:pPr>
            <w:r>
              <w:rPr>
                <w:sz w:val="4"/>
                <w:szCs w:val="4"/>
              </w:rPr>
            </w:r>
          </w:p>
        </w:tc>
        <w:tc>
          <w:tcPr>
            <w:tcW w:w="2551"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2"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3"/>
              <w:gridCol w:w="2068"/>
            </w:tblGrid>
            <w:tr>
              <w:trPr/>
              <w:tc>
                <w:tcPr>
                  <w:tcW w:w="363"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3"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2"/>
        <w:gridCol w:w="1963"/>
        <w:gridCol w:w="1166"/>
        <w:gridCol w:w="2654"/>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2" w:type="dxa"/>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3"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6"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4"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r>
        <w:trPr/>
        <w:tc>
          <w:tcPr>
            <w:tcW w:w="442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19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12,191</w:t>
            </w:r>
            <w:r>
              <w:rPr>
                <w:rFonts w:ascii="Times;serif" w:hAnsi="Times;serif"/>
                <w:color w:val="008000"/>
                <w:position w:val="7"/>
                <w:sz w:val="16"/>
                <w:sz w:val="20"/>
                <w:shd w:fill="FFFFFF" w:val="clear"/>
              </w:rPr>
              <w:t>(1)(2)</w:t>
            </w:r>
          </w:p>
        </w:tc>
        <w:tc>
          <w:tcPr>
            <w:tcW w:w="11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26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682"/>
        <w:gridCol w:w="1223"/>
        <w:gridCol w:w="1130"/>
        <w:gridCol w:w="1351"/>
        <w:gridCol w:w="938"/>
        <w:gridCol w:w="1267"/>
        <w:gridCol w:w="1230"/>
        <w:gridCol w:w="1384"/>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68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228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6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3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3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68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223"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35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38"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6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23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38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68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Stock option (right to buy)</w:t>
            </w:r>
          </w:p>
        </w:tc>
        <w:tc>
          <w:tcPr>
            <w:tcW w:w="12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11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08/01/2034</w:t>
            </w:r>
          </w:p>
        </w:tc>
        <w:tc>
          <w:tcPr>
            <w:tcW w:w="13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9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25,000</w:t>
            </w:r>
          </w:p>
        </w:tc>
        <w:tc>
          <w:tcPr>
            <w:tcW w:w="126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37.94</w:t>
            </w:r>
          </w:p>
        </w:tc>
        <w:tc>
          <w:tcPr>
            <w:tcW w:w="12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68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Stock option (right to buy)</w:t>
            </w:r>
          </w:p>
        </w:tc>
        <w:tc>
          <w:tcPr>
            <w:tcW w:w="12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11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02/28/2035</w:t>
            </w:r>
          </w:p>
        </w:tc>
        <w:tc>
          <w:tcPr>
            <w:tcW w:w="13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9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25,000</w:t>
            </w:r>
          </w:p>
        </w:tc>
        <w:tc>
          <w:tcPr>
            <w:tcW w:w="126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60.58</w:t>
            </w:r>
          </w:p>
        </w:tc>
        <w:tc>
          <w:tcPr>
            <w:tcW w:w="12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68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Stock option (right to buy)</w:t>
            </w:r>
          </w:p>
        </w:tc>
        <w:tc>
          <w:tcPr>
            <w:tcW w:w="12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11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02/27/2036</w:t>
            </w:r>
          </w:p>
        </w:tc>
        <w:tc>
          <w:tcPr>
            <w:tcW w:w="13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9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13,438</w:t>
            </w:r>
          </w:p>
        </w:tc>
        <w:tc>
          <w:tcPr>
            <w:tcW w:w="126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35.7</w:t>
            </w:r>
          </w:p>
        </w:tc>
        <w:tc>
          <w:tcPr>
            <w:tcW w:w="12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68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Stock option (right to buy)</w:t>
            </w:r>
          </w:p>
        </w:tc>
        <w:tc>
          <w:tcPr>
            <w:tcW w:w="122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(6)</w:t>
            </w:r>
          </w:p>
        </w:tc>
        <w:tc>
          <w:tcPr>
            <w:tcW w:w="113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02/27/2036</w:t>
            </w:r>
          </w:p>
        </w:tc>
        <w:tc>
          <w:tcPr>
            <w:tcW w:w="135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93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8,959</w:t>
            </w:r>
          </w:p>
        </w:tc>
        <w:tc>
          <w:tcPr>
            <w:tcW w:w="126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35.7</w:t>
            </w:r>
          </w:p>
        </w:tc>
        <w:tc>
          <w:tcPr>
            <w:tcW w:w="123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Includes 141 shares underlying unvested restricted stock awards granted to the Reporting Person by the Issuer on December 1, 2025, 316 shares underlying unvested restricted stock awards granted to the Reporting Person by the Issuer on March 2, 2026, 405 shares underlying unvested restricted stock awards granted to the Reporting Person by the Issuer on June 1, 2026 and 103 shares underlying unvested restricted stock awards granted to the Reporting Person by the Issuer on September 1, 2026. 100% of the shares underlying the restricted stock awards will vest on the one-year anniversary of the grant date provided the Reporting Person satisfies certain requirements.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Includes 6,000 shares underlying unvested restricted stock awards granted to the Reporting Person by the Issuer on September 1, 2026. The shares underlying the restricted stock unit will vest in equal installments on each quarterly anniversary of September 1, 2026 over a four-year period provided the Reporting Person satisfies certain requirements.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There were originally 50,000 shares subject to the stock option and an aggregate of 25,000 shares have been previously exercised. The shares subject to the stock option vested and became exercisable with respect to 25% of the shares underlying the option on August 1, 2025 with the remaining shares vesting and becoming exercisable ratably on a monthly basis over a period of 36 consecutive months thereafter until fully vested and exercisable on August 1, 2028, subject to the Reporting Person's continued service.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Exercisable ratably in equal installments on each monthly anniversary of February 28, 2025 over a four-year period subject to the Reporting Person's continued service through each vesting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There were originally 15,000 shares subject to the stock option and an aggregate of 1,562 shares have been previously exercised. The shares subject to the stock option vested and became exercisable ratably in equal installments on each monthly anniversary of February 27, 2026 over a four-year period subject to the Reporting Person's continued service through each vesting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There were originally 10,000 shares subject to the stock option and an aggregate of 1,041 shares have been previously exercised. The shares subject to the stock option vested and became exercisable ratably in equal installments on each monthly anniversary of February 27, 2026 over a four-year period subject to the Reporting Person's continued service through each vesting date.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President, Corcept Endocrinology Exhibit 24 - Power of Attorney</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By: /s/ Joseph Douglas Lyon, as attorney-in-fact for Justin Gunn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jc w:val="right"/>
        <w:rPr>
          <w:rFonts w:ascii="Times New Roman" w:hAnsi="Times New Roman"/>
          <w:color w:val="000000"/>
          <w:sz w:val="24"/>
        </w:rPr>
      </w:pPr>
      <w:bookmarkStart w:id="2" w:name="cort-ex24.htm"/>
      <w:bookmarkStart w:id="3" w:name="kscortex24"/>
      <w:bookmarkEnd w:id="2"/>
      <w:bookmarkEnd w:id="3"/>
      <w:r>
        <w:rPr>
          <w:rFonts w:ascii="Times New Roman" w:hAnsi="Times New Roman"/>
          <w:color w:val="000000"/>
          <w:sz w:val="24"/>
        </w:rPr>
        <w:t>Exhibit 24</w:t>
      </w:r>
      <w:r>
        <w:br w:type="page"/>
      </w:r>
    </w:p>
    <w:p>
      <w:pPr>
        <w:pStyle w:val="TextBody"/>
        <w:bidi w:val="0"/>
        <w:jc w:val="center"/>
        <w:rPr>
          <w:rFonts w:ascii="Times New Roman" w:hAnsi="Times New Roman"/>
          <w:b/>
          <w:color w:val="000000"/>
          <w:sz w:val="24"/>
        </w:rPr>
      </w:pPr>
      <w:r>
        <w:rPr>
          <w:rFonts w:ascii="Times New Roman" w:hAnsi="Times New Roman"/>
          <w:b/>
          <w:color w:val="000000"/>
          <w:sz w:val="24"/>
        </w:rPr>
        <w:t>POWER OF ATTORNEY</w:t>
      </w:r>
    </w:p>
    <w:p>
      <w:pPr>
        <w:pStyle w:val="TextBody"/>
        <w:bidi w:val="0"/>
        <w:jc w:val="left"/>
        <w:rPr/>
      </w:pPr>
      <w:r>
        <w:rPr/>
        <w:t> </w:t>
      </w:r>
    </w:p>
    <w:p>
      <w:pPr>
        <w:pStyle w:val="TextBody"/>
        <w:bidi w:val="0"/>
        <w:jc w:val="both"/>
        <w:rPr>
          <w:rFonts w:ascii="Times New Roman" w:hAnsi="Times New Roman"/>
          <w:color w:val="000000"/>
          <w:sz w:val="24"/>
        </w:rPr>
      </w:pPr>
      <w:r>
        <w:rPr>
          <w:rFonts w:ascii="Times New Roman" w:hAnsi="Times New Roman"/>
          <w:color w:val="000000"/>
          <w:sz w:val="24"/>
        </w:rPr>
        <w:t>KNOW ALL BY THESE PRESENTS, that the undersigned hereby constitutes and appoints Joseph K. Belanoff, M.D., in his capacity as Chief Executive Officer of Corcept Therapeutics Incorporated (the “Company”), G. Charles Robb, in his capacity as Chief Business Officer of the Company, Atabak Mokari, in his capacity as Chief Financial Officer of the Company, Joseph Douglas Lyon, in his capacity as Chief Accounting and Technology Officer of the Company, and any of them with full power of substitution of their respective successors in any such offices, signing singly, as the undersigned's true and lawful attorney-in-fact to:</w:t>
      </w:r>
    </w:p>
    <w:p>
      <w:pPr>
        <w:pStyle w:val="TextBody"/>
        <w:bidi w:val="0"/>
        <w:jc w:val="both"/>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(1)</w:t>
      </w:r>
    </w:p>
    <w:p>
      <w:pPr>
        <w:pStyle w:val="TextBody"/>
        <w:bidi w:val="0"/>
        <w:jc w:val="both"/>
        <w:rPr>
          <w:rFonts w:ascii="Times New Roman" w:hAnsi="Times New Roman"/>
          <w:color w:val="000000"/>
          <w:sz w:val="24"/>
        </w:rPr>
      </w:pPr>
      <w:r>
        <w:rPr>
          <w:rFonts w:ascii="Times New Roman" w:hAnsi="Times New Roman"/>
          <w:color w:val="000000"/>
          <w:sz w:val="24"/>
        </w:rPr>
        <w:t>prepare, execute in the undersigned's name and on the undersigned's behalf, and submit to the U.S. Securities and Exchange Commission (the “SEC”) a Form ID, including amendments thereto, and any other documents necessary or appropriate to obtain codes and passwords enabling the undersigned to make electronic filings with the SEC of reports required by Section 16(a) of the Securities Exchange Act of 1934, as amended, or any rule or regulation of the SEC;</w:t>
      </w:r>
    </w:p>
    <w:p>
      <w:pPr>
        <w:pStyle w:val="TextBody"/>
        <w:bidi w:val="0"/>
        <w:jc w:val="both"/>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(2)</w:t>
      </w:r>
    </w:p>
    <w:p>
      <w:pPr>
        <w:pStyle w:val="TextBody"/>
        <w:bidi w:val="0"/>
        <w:jc w:val="both"/>
        <w:rPr>
          <w:rFonts w:ascii="Times New Roman" w:hAnsi="Times New Roman"/>
          <w:color w:val="000000"/>
          <w:sz w:val="24"/>
        </w:rPr>
      </w:pPr>
      <w:r>
        <w:rPr>
          <w:rFonts w:ascii="Times New Roman" w:hAnsi="Times New Roman"/>
          <w:color w:val="000000"/>
          <w:sz w:val="24"/>
        </w:rPr>
        <w:t xml:space="preserve">execute for and on behalf of the undersigned, in the undersigned's capacity as an officer of the Company, Forms 3, 4, and 5 and any amendments thereto in accordance with Section 16(a) of the Securities Exchange Act of 1934, as amended, and the rules promulgated thereunder or Forms 144 in accordance with Rule 144 (“Rule 144”) under the Securities Act of 1933, as amended; </w:t>
      </w:r>
    </w:p>
    <w:p>
      <w:pPr>
        <w:pStyle w:val="TextBody"/>
        <w:bidi w:val="0"/>
        <w:jc w:val="both"/>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(3)</w:t>
      </w:r>
    </w:p>
    <w:p>
      <w:pPr>
        <w:pStyle w:val="TextBody"/>
        <w:bidi w:val="0"/>
        <w:jc w:val="both"/>
        <w:rPr>
          <w:rFonts w:ascii="Times New Roman" w:hAnsi="Times New Roman"/>
          <w:color w:val="000000"/>
          <w:sz w:val="24"/>
        </w:rPr>
      </w:pPr>
      <w:r>
        <w:rPr>
          <w:rFonts w:ascii="Times New Roman" w:hAnsi="Times New Roman"/>
          <w:color w:val="000000"/>
          <w:sz w:val="24"/>
        </w:rPr>
        <w:t>do and perform any and all acts for and on behalf of the undersigned which may be necessary or desirable to complete and execute any such Form 3, 4, 5 and 144, complete and execute any amendment or amendments thereto, and timely file such forms or amendments with the SEC and any stock exchange or similar authority; and</w:t>
      </w:r>
    </w:p>
    <w:p>
      <w:pPr>
        <w:pStyle w:val="TextBody"/>
        <w:bidi w:val="0"/>
        <w:jc w:val="both"/>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(4)</w:t>
      </w:r>
    </w:p>
    <w:p>
      <w:pPr>
        <w:pStyle w:val="TextBody"/>
        <w:bidi w:val="0"/>
        <w:jc w:val="both"/>
        <w:rPr>
          <w:rFonts w:ascii="Times New Roman" w:hAnsi="Times New Roman"/>
          <w:color w:val="000000"/>
          <w:sz w:val="24"/>
        </w:rPr>
      </w:pPr>
      <w:r>
        <w:rPr>
          <w:rFonts w:ascii="Times New Roman" w:hAnsi="Times New Roman"/>
          <w:color w:val="000000"/>
          <w:sz w:val="24"/>
        </w:rPr>
        <w:t>take any other action of any type whatsoever in connection with the foregoing which, in the opinion of any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 or Rule 144.</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both"/>
        <w:rPr>
          <w:rFonts w:ascii="Times New Roman" w:hAnsi="Times New Roman"/>
          <w:color w:val="000000"/>
          <w:sz w:val="24"/>
        </w:rPr>
      </w:pPr>
      <w:r>
        <w:rPr>
          <w:rFonts w:ascii="Times New Roman" w:hAnsi="Times New Roman"/>
          <w:color w:val="000000"/>
          <w:sz w:val="24"/>
        </w:rPr>
        <w:t xml:space="preserve">This Power of Attorney shall remain in full force and effect with respect to the undersigned until the earliest to occur of (a) such date that the undersigned is no longer required to file Forms 3, 4, 5 and 144 with respect to the undersigned's holdings of and transactions in securities issued by the Company, or (b) the revocation by the undersigned in a signed writing delivered to the Company and the foregoing attorneys-in-fact. </w:t>
      </w:r>
    </w:p>
    <w:p>
      <w:pPr>
        <w:pStyle w:val="TextBody"/>
        <w:bidi w:val="0"/>
        <w:jc w:val="both"/>
        <w:rPr>
          <w:rFonts w:ascii="Times New Roman" w:hAnsi="Times New Roman"/>
          <w:color w:val="000000"/>
          <w:sz w:val="24"/>
        </w:rPr>
      </w:pPr>
      <w:r>
        <w:rPr>
          <w:rFonts w:ascii="Times New Roman" w:hAnsi="Times New Roman"/>
          <w:color w:val="000000"/>
          <w:sz w:val="24"/>
        </w:rPr>
        <w:t xml:space="preserve">IN WITNESS WHEREOF, the undersigned has caused this Power of Attorney to be executed as of this 1st day of October, 2026. </w:t>
      </w:r>
    </w:p>
    <w:p>
      <w:pPr>
        <w:pStyle w:val="TextBody"/>
        <w:bidi w:val="0"/>
        <w:jc w:val="left"/>
        <w:rPr/>
      </w:pPr>
      <w:r>
        <w:rPr/>
        <w:t> </w:t>
      </w:r>
    </w:p>
    <w:p>
      <w:pPr>
        <w:pStyle w:val="TextBody"/>
        <w:bidi w:val="0"/>
        <w:jc w:val="left"/>
        <w:rPr/>
      </w:pPr>
      <w:r>
        <w:rPr/>
        <w:t> </w:t>
      </w:r>
    </w:p>
    <w:p>
      <w:pPr>
        <w:pStyle w:val="TextBody"/>
        <w:bidi w:val="0"/>
        <w:jc w:val="left"/>
        <w:rPr/>
      </w:pPr>
      <w:r>
        <w:rPr/>
        <w:t> </w:t>
      </w:r>
    </w:p>
    <w:tbl>
      <w:tblPr>
        <w:tblW w:w="2642" w:type="dxa"/>
        <w:jc w:val="left"/>
        <w:tblInd w:w="0" w:type="dxa"/>
        <w:tblLayout w:type="fixed"/>
        <w:tblCellMar>
          <w:top w:w="28" w:type="dxa"/>
          <w:left w:w="28" w:type="dxa"/>
          <w:bottom w:w="28" w:type="dxa"/>
          <w:right w:w="28" w:type="dxa"/>
        </w:tblCellMar>
      </w:tblPr>
      <w:tblGrid>
        <w:gridCol w:w="1081"/>
        <w:gridCol w:w="1561"/>
      </w:tblGrid>
      <w:tr>
        <w:trPr/>
        <w:tc>
          <w:tcPr>
            <w:tcW w:w="1081" w:type="dxa"/>
            <w:tcBorders/>
            <w:vAlign w:val="center"/>
          </w:tcPr>
          <w:p>
            <w:pPr>
              <w:pStyle w:val="TableContents"/>
              <w:bidi w:val="0"/>
              <w:spacing w:before="0" w:after="283"/>
              <w:jc w:val="left"/>
              <w:rPr>
                <w:sz w:val="4"/>
                <w:szCs w:val="4"/>
              </w:rPr>
            </w:pPr>
            <w:r>
              <w:rPr>
                <w:sz w:val="4"/>
                <w:szCs w:val="4"/>
              </w:rPr>
            </w:r>
          </w:p>
        </w:tc>
        <w:tc>
          <w:tcPr>
            <w:tcW w:w="1561" w:type="dxa"/>
            <w:tcBorders/>
            <w:vAlign w:val="center"/>
          </w:tcPr>
          <w:p>
            <w:pPr>
              <w:pStyle w:val="TableContents"/>
              <w:bidi w:val="0"/>
              <w:spacing w:before="0" w:after="283"/>
              <w:jc w:val="left"/>
              <w:rPr>
                <w:sz w:val="4"/>
                <w:szCs w:val="4"/>
              </w:rPr>
            </w:pPr>
            <w:r>
              <w:rPr>
                <w:sz w:val="4"/>
                <w:szCs w:val="4"/>
              </w:rPr>
            </w:r>
          </w:p>
        </w:tc>
      </w:tr>
      <w:tr>
        <w:trPr/>
        <w:tc>
          <w:tcPr>
            <w:tcW w:w="10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Signature:</w:t>
            </w:r>
          </w:p>
        </w:tc>
        <w:tc>
          <w:tcPr>
            <w:tcW w:w="156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 Justin Gunn</w:t>
            </w:r>
          </w:p>
        </w:tc>
      </w:tr>
      <w:tr>
        <w:trPr/>
        <w:tc>
          <w:tcPr>
            <w:tcW w:w="10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 xml:space="preserve">Name: </w:t>
            </w:r>
          </w:p>
        </w:tc>
        <w:tc>
          <w:tcPr>
            <w:tcW w:w="15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Justin Gunn</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2155454" TargetMode="External"/><Relationship Id="rId3" Type="http://schemas.openxmlformats.org/officeDocument/2006/relationships/hyperlink" Target="http://www.sec.gov/cgi-bin/browse-edgar?action=getcompany&amp;CIK=0001088856"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1476</Words>
  <Characters>7878</Characters>
  <CharactersWithSpaces>9272</CharactersWithSpaces>
  <Paragraphs>136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