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5"/>
        <w:gridCol w:w="924"/>
        <w:gridCol w:w="794"/>
        <w:gridCol w:w="614"/>
        <w:gridCol w:w="340"/>
        <w:gridCol w:w="908"/>
        <w:gridCol w:w="417"/>
        <w:gridCol w:w="1101"/>
        <w:gridCol w:w="1110"/>
        <w:gridCol w:w="963"/>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34,755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113.9351</w:t>
            </w:r>
            <w:r>
              <w:rPr>
                <w:rFonts w:ascii="Times;serif" w:hAnsi="Times;serif"/>
                <w:color w:val="008000"/>
                <w:position w:val="7"/>
                <w:sz w:val="16"/>
                <w:sz w:val="20"/>
                <w:shd w:fill="FFFFFF" w:val="clear"/>
              </w:rPr>
              <w:t>(3)</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23,025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114.7118</w:t>
            </w:r>
            <w:r>
              <w:rPr>
                <w:rFonts w:ascii="Times;serif" w:hAnsi="Times;serif"/>
                <w:color w:val="008000"/>
                <w:position w:val="7"/>
                <w:sz w:val="16"/>
                <w:sz w:val="20"/>
                <w:shd w:fill="FFFFFF" w:val="clear"/>
              </w:rPr>
              <w:t>(4)</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12,036</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115.6118</w:t>
            </w:r>
            <w:r>
              <w:rPr>
                <w:rFonts w:ascii="Times;serif" w:hAnsi="Times;serif"/>
                <w:color w:val="008000"/>
                <w:position w:val="7"/>
                <w:sz w:val="16"/>
                <w:sz w:val="20"/>
                <w:shd w:fill="FFFFFF" w:val="clear"/>
              </w:rPr>
              <w:t>(5)</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w:t>
            </w:r>
            <w:r>
              <w:rPr>
                <w:rFonts w:ascii="Times;serif" w:hAnsi="Times;serif"/>
                <w:color w:val="008000"/>
                <w:position w:val="7"/>
                <w:sz w:val="16"/>
                <w:sz w:val="20"/>
                <w:shd w:fill="FFFFFF" w:val="clear"/>
              </w:rPr>
              <w:t>(6)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(7)</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9,905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w:t>
            </w:r>
            <w:r>
              <w:rPr>
                <w:rFonts w:ascii="Times;serif" w:hAnsi="Times;serif"/>
                <w:color w:val="008000"/>
                <w:position w:val="7"/>
                <w:sz w:val="16"/>
                <w:sz w:val="20"/>
                <w:shd w:fill="FFFFFF" w:val="clear"/>
              </w:rPr>
              <w:t>(8)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10,055</w:t>
            </w:r>
            <w:r>
              <w:rPr>
                <w:rFonts w:ascii="Times;serif" w:hAnsi="Times;serif"/>
                <w:color w:val="008000"/>
                <w:position w:val="7"/>
                <w:sz w:val="16"/>
                <w:sz w:val="20"/>
                <w:shd w:fill="FFFFFF" w:val="clear"/>
              </w:rPr>
              <w:t>(1)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(9)</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113.38</w:t>
            </w:r>
            <w:r>
              <w:rPr>
                <w:rFonts w:ascii="Times;serif" w:hAnsi="Times;serif"/>
                <w:color w:val="008000"/>
                <w:position w:val="7"/>
                <w:sz w:val="16"/>
                <w:sz w:val="20"/>
                <w:shd w:fill="FFFFFF" w:val="clear"/>
              </w:rPr>
              <w:t>(10)</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9,938</w:t>
            </w:r>
            <w:r>
              <w:rPr>
                <w:rFonts w:ascii="Times;serif" w:hAnsi="Times;serif"/>
                <w:color w:val="008000"/>
                <w:position w:val="7"/>
                <w:sz w:val="16"/>
                <w:sz w:val="20"/>
                <w:shd w:fill="FFFFFF" w:val="clear"/>
              </w:rPr>
              <w:t>(11)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r>
        <w:trPr/>
        <w:tc>
          <w:tcPr>
            <w:tcW w:w="1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(15)</w:t>
            </w:r>
          </w:p>
        </w:tc>
      </w:tr>
      <w:tr>
        <w:trPr/>
        <w:tc>
          <w:tcPr>
            <w:tcW w:w="1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(16)</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228 shares underlying unvested restricted stock awards granted to the Reporting Person by the Issuer on September 2, 2025,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$113.36 to $114.34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$114.365 to $115.295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$115.37 to $115.82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purchased shares ("Purchase Plan Shares") of the Issuer's common stock pursuant to a purchase plan ("Purchase Plan") established under the Corcept Therapeutics Incorporated 2024 Incentive Award Plan on September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accordance with the Purchase Plan, the price was established based on the closing price on the day of the purchase.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underlie unvested restricted stock awards granted to the Reporting Person by the Issuer under the Purchase Plan. 100% of the shares underlying the restricted stock awards will vest on the one-year anniversary of the grant date provided the Reporting Person remains the beneficial owner of the Purchase Plan Shares through such one-year anniversary.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were withheld by the Issuer in order to satisfy certain tax withholding obligations in connection with the issuance of shares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closing price on September 1, 2026 was used to calculate the withholding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Includes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1316</Words>
  <Characters>7010</Characters>
  <CharactersWithSpaces>8160</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