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000-50679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CORCEPT THERAPEUTICS INCORPORATED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3"/>
        <w:gridCol w:w="760"/>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77-0487658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Redwood Shores Parkway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Redwood City, CA 94065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(650) 327-3270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6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542" w:type="dxa"/>
        <w:jc w:val="center"/>
        <w:tblInd w:w="0" w:type="dxa"/>
        <w:tblLayout w:type="fixed"/>
        <w:tblCellMar>
          <w:top w:w="28" w:type="dxa"/>
          <w:left w:w="28" w:type="dxa"/>
          <w:bottom w:w="28" w:type="dxa"/>
          <w:right w:w="28" w:type="dxa"/>
        </w:tblCellMar>
      </w:tblPr>
      <w:tblGrid>
        <w:gridCol w:w="905"/>
        <w:gridCol w:w="797"/>
        <w:gridCol w:w="802"/>
        <w:gridCol w:w="519"/>
        <w:gridCol w:w="519"/>
        <w:gridCol w:w="521"/>
        <w:gridCol w:w="1019"/>
        <w:gridCol w:w="1019"/>
        <w:gridCol w:w="1441"/>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CORT</w:t>
            </w:r>
          </w:p>
        </w:tc>
        <w:tc>
          <w:tcPr>
            <w:tcW w:w="34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The </w:t>
            </w:r>
            <w:r>
              <w:rPr>
                <w:rFonts w:ascii="sans-serif" w:hAnsi="sans-serif"/>
                <w:b w:val="false"/>
                <w:color w:val="000000"/>
                <w:sz w:val="18"/>
              </w:rPr>
              <w:t>Nasdaq</w:t>
            </w:r>
            <w:r>
              <w:rPr>
                <w:color w:val="000000"/>
              </w:rPr>
              <w:t xml:space="preserve"> </w:t>
            </w:r>
            <w:r>
              <w:rPr>
                <w:rFonts w:ascii="Times New Roman;serif" w:hAnsi="Times New Roman;serif"/>
                <w:b w:val="false"/>
                <w:color w:val="000000"/>
                <w:sz w:val="18"/>
              </w:rPr>
              <w:t xml:space="preserve">Capital Market </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5" w:type="dxa"/>
        <w:jc w:val="left"/>
        <w:tblInd w:w="0" w:type="dxa"/>
        <w:tblLayout w:type="fixed"/>
        <w:tblCellMar>
          <w:top w:w="28" w:type="dxa"/>
          <w:left w:w="28" w:type="dxa"/>
          <w:bottom w:w="28" w:type="dxa"/>
          <w:right w:w="28" w:type="dxa"/>
        </w:tblCellMar>
      </w:tblPr>
      <w:tblGrid>
        <w:gridCol w:w="695"/>
        <w:gridCol w:w="611"/>
        <w:gridCol w:w="613"/>
        <w:gridCol w:w="145"/>
        <w:gridCol w:w="145"/>
        <w:gridCol w:w="146"/>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22, 2026, there were 108,098,397 shares of common stock outstanding at a par value of $0.001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60"/>
        <w:ind w:left="0" w:right="0" w:firstLine="540"/>
        <w:jc w:val="left"/>
        <w:rPr/>
      </w:pPr>
      <w:r>
        <w:rPr/>
      </w:r>
    </w:p>
    <w:p>
      <w:pPr>
        <w:pStyle w:val="TextBody"/>
        <w:bidi w:val="0"/>
        <w:spacing w:before="180" w:after="6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70"/>
        <w:gridCol w:w="3128"/>
        <w:gridCol w:w="3134"/>
        <w:gridCol w:w="109"/>
        <w:gridCol w:w="109"/>
        <w:gridCol w:w="155"/>
      </w:tblGrid>
      <w:tr>
        <w:trPr/>
        <w:tc>
          <w:tcPr>
            <w:tcW w:w="3570"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10">
              <w:r>
                <w:rPr>
                  <w:rStyle w:val="InternetLink"/>
                  <w:rFonts w:ascii="Times New Roman;serif" w:hAnsi="Times New Roman;serif"/>
                  <w:b w:val="false"/>
                  <w:color w:val="0000FF"/>
                  <w:sz w:val="20"/>
                  <w:u w:val="single"/>
                </w:rPr>
                <w:t>PART I.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10">
              <w:r>
                <w:rPr>
                  <w:rStyle w:val="InternetLink"/>
                  <w:rFonts w:ascii="Times New Roman;serif" w:hAnsi="Times New Roman;serif"/>
                  <w:b w:val="false"/>
                  <w:strike w:val="false"/>
                  <w:dstrike w:val="false"/>
                  <w:color w:val="0000FF"/>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13">
              <w:r>
                <w:rPr>
                  <w:rStyle w:val="InternetLink"/>
                  <w:rFonts w:ascii="Times New Roman;serif" w:hAnsi="Times New Roman;serif"/>
                  <w:b w:val="false"/>
                  <w:color w:val="0000FF"/>
                  <w:sz w:val="20"/>
                  <w:u w:val="single"/>
                </w:rPr>
                <w:t>ITEM 1.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13">
              <w:r>
                <w:rPr>
                  <w:rStyle w:val="InternetLink"/>
                  <w:rFonts w:ascii="Times New Roman;serif" w:hAnsi="Times New Roman;serif"/>
                  <w:b w:val="false"/>
                  <w:strike w:val="false"/>
                  <w:dstrike w:val="false"/>
                  <w:color w:val="0000FF"/>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16">
              <w:r>
                <w:rPr>
                  <w:rStyle w:val="InternetLink"/>
                  <w:rFonts w:ascii="Times New Roman;serif" w:hAnsi="Times New Roman;serif"/>
                  <w:b w:val="false"/>
                  <w:color w:val="0000FF"/>
                  <w:sz w:val="20"/>
                  <w:u w:val="single"/>
                </w:rPr>
                <w:t>CONDENSED CONSOLIDATED BALANCE SHEETS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16">
              <w:r>
                <w:rPr>
                  <w:rStyle w:val="InternetLink"/>
                  <w:rFonts w:ascii="Times New Roman;serif" w:hAnsi="Times New Roman;serif"/>
                  <w:b w:val="false"/>
                  <w:strike w:val="false"/>
                  <w:dstrike w:val="false"/>
                  <w:color w:val="0000FF"/>
                  <w:sz w:val="20"/>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19">
              <w:r>
                <w:rPr>
                  <w:rStyle w:val="InternetLink"/>
                  <w:rFonts w:ascii="Times New Roman;serif" w:hAnsi="Times New Roman;serif"/>
                  <w:b w:val="false"/>
                  <w:color w:val="0000FF"/>
                  <w:sz w:val="20"/>
                  <w:u w:val="single"/>
                </w:rPr>
                <w:t>CONDENSED CONSOLIDATED STATEMENTS OF INCOME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19">
              <w:r>
                <w:rPr>
                  <w:rStyle w:val="InternetLink"/>
                  <w:rFonts w:ascii="Times New Roman;serif" w:hAnsi="Times New Roman;serif"/>
                  <w:b w:val="false"/>
                  <w:strike w:val="false"/>
                  <w:dstrike w:val="false"/>
                  <w:color w:val="0000FF"/>
                  <w:sz w:val="20"/>
                  <w:u w:val="none"/>
                  <w:effect w:val="non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22">
              <w:r>
                <w:rPr>
                  <w:rStyle w:val="InternetLink"/>
                  <w:rFonts w:ascii="Times New Roman;serif" w:hAnsi="Times New Roman;serif"/>
                  <w:b w:val="false"/>
                  <w:color w:val="0000FF"/>
                  <w:sz w:val="20"/>
                  <w:u w:val="single"/>
                </w:rPr>
                <w:t>CONDENSED CONSOLIDATED STATEMENTS OF COMPREHENSIVE INCOME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22">
              <w:r>
                <w:rPr>
                  <w:rStyle w:val="InternetLink"/>
                  <w:rFonts w:ascii="Times New Roman;serif" w:hAnsi="Times New Roman;serif"/>
                  <w:b w:val="false"/>
                  <w:strike w:val="false"/>
                  <w:dstrike w:val="false"/>
                  <w:color w:val="0000FF"/>
                  <w:sz w:val="20"/>
                  <w:u w:val="none"/>
                  <w:effect w:val="none"/>
                </w:rPr>
                <w:t>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25">
              <w:r>
                <w:rPr>
                  <w:rStyle w:val="InternetLink"/>
                  <w:rFonts w:ascii="Times New Roman;serif" w:hAnsi="Times New Roman;serif"/>
                  <w:b w:val="false"/>
                  <w:color w:val="0000FF"/>
                  <w:sz w:val="20"/>
                  <w:u w:val="single"/>
                </w:rPr>
                <w:t>CONDENSED CONSOLIDATED STATEMENTS OF CASH FLOWS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25">
              <w:r>
                <w:rPr>
                  <w:rStyle w:val="InternetLink"/>
                  <w:rFonts w:ascii="Times New Roman;serif" w:hAnsi="Times New Roman;serif"/>
                  <w:b w:val="false"/>
                  <w:strike w:val="false"/>
                  <w:dstrike w:val="false"/>
                  <w:color w:val="0000FF"/>
                  <w:sz w:val="20"/>
                  <w:u w:val="none"/>
                  <w:effect w:val="non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28">
              <w:r>
                <w:rPr>
                  <w:rStyle w:val="InternetLink"/>
                  <w:rFonts w:ascii="Times New Roman;serif" w:hAnsi="Times New Roman;serif"/>
                  <w:b w:val="false"/>
                  <w:color w:val="0000FF"/>
                  <w:sz w:val="20"/>
                  <w:u w:val="single"/>
                </w:rPr>
                <w:t>CONDENSED CONSOLIDATED STATEMENTS OF STOCKHOLDERS’ EQUITY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28">
              <w:r>
                <w:rPr>
                  <w:rStyle w:val="InternetLink"/>
                  <w:rFonts w:ascii="Times New Roman;serif" w:hAnsi="Times New Roman;serif"/>
                  <w:b w:val="false"/>
                  <w:strike w:val="false"/>
                  <w:dstrike w:val="false"/>
                  <w:color w:val="0000FF"/>
                  <w:sz w:val="20"/>
                  <w:u w:val="none"/>
                  <w:effect w:val="none"/>
                </w:rPr>
                <w:t>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34">
              <w:r>
                <w:rPr>
                  <w:rStyle w:val="InternetLink"/>
                  <w:rFonts w:ascii="Times New Roman;serif" w:hAnsi="Times New Roman;serif"/>
                  <w:b w:val="false"/>
                  <w:color w:val="0000FF"/>
                  <w:sz w:val="20"/>
                  <w:u w:val="single"/>
                </w:rPr>
                <w:t>NOTES TO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34">
              <w:r>
                <w:rPr>
                  <w:rStyle w:val="InternetLink"/>
                  <w:rFonts w:ascii="Times New Roman;serif" w:hAnsi="Times New Roman;serif"/>
                  <w:b w:val="false"/>
                  <w:strike w:val="false"/>
                  <w:dstrike w:val="false"/>
                  <w:color w:val="0000FF"/>
                  <w:sz w:val="20"/>
                  <w:u w:val="none"/>
                  <w:effect w:val="none"/>
                </w:rPr>
                <w:t>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5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58">
              <w:r>
                <w:rPr>
                  <w:rStyle w:val="InternetLink"/>
                  <w:rFonts w:ascii="Times New Roman;serif" w:hAnsi="Times New Roman;serif"/>
                  <w:b w:val="false"/>
                  <w:strike w:val="false"/>
                  <w:dstrike w:val="false"/>
                  <w:color w:val="0000FF"/>
                  <w:sz w:val="20"/>
                  <w:u w:val="none"/>
                  <w:effect w:val="none"/>
                </w:rPr>
                <w:t>18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61">
              <w:r>
                <w:rPr>
                  <w:rStyle w:val="InternetLink"/>
                  <w:rFonts w:ascii="Times New Roman;serif" w:hAnsi="Times New Roman;serif"/>
                  <w:b w:val="false"/>
                  <w:color w:val="0000FF"/>
                  <w:sz w:val="20"/>
                  <w:u w:val="single"/>
                </w:rPr>
                <w:t>ITEM 3.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61">
              <w:r>
                <w:rPr>
                  <w:rStyle w:val="InternetLink"/>
                  <w:rFonts w:ascii="Times New Roman;serif" w:hAnsi="Times New Roman;serif"/>
                  <w:b w:val="false"/>
                  <w:strike w:val="false"/>
                  <w:dstrike w:val="false"/>
                  <w:color w:val="0000FF"/>
                  <w:sz w:val="20"/>
                  <w:u w:val="none"/>
                  <w:effect w:val="none"/>
                </w:rPr>
                <w:t>25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64">
              <w:r>
                <w:rPr>
                  <w:rStyle w:val="InternetLink"/>
                  <w:rFonts w:ascii="Times New Roman;serif" w:hAnsi="Times New Roman;serif"/>
                  <w:b w:val="false"/>
                  <w:color w:val="0000FF"/>
                  <w:sz w:val="20"/>
                  <w:u w:val="single"/>
                </w:rPr>
                <w:t>ITEM 4.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64">
              <w:r>
                <w:rPr>
                  <w:rStyle w:val="InternetLink"/>
                  <w:rFonts w:ascii="Times New Roman;serif" w:hAnsi="Times New Roman;serif"/>
                  <w:b w:val="false"/>
                  <w:strike w:val="false"/>
                  <w:dstrike w:val="false"/>
                  <w:color w:val="0000FF"/>
                  <w:sz w:val="20"/>
                  <w:u w:val="none"/>
                  <w:effect w:val="none"/>
                </w:rPr>
                <w:t>26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67">
              <w:r>
                <w:rPr>
                  <w:rStyle w:val="InternetLink"/>
                  <w:rFonts w:ascii="Times New Roman;serif" w:hAnsi="Times New Roman;serif"/>
                  <w:b w:val="false"/>
                  <w:color w:val="0000FF"/>
                  <w:sz w:val="20"/>
                  <w:u w:val="single"/>
                </w:rPr>
                <w:t>PART II.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67">
              <w:r>
                <w:rPr>
                  <w:rStyle w:val="InternetLink"/>
                  <w:rFonts w:ascii="Times New Roman;serif" w:hAnsi="Times New Roman;serif"/>
                  <w:b w:val="false"/>
                  <w:strike w:val="false"/>
                  <w:dstrike w:val="false"/>
                  <w:color w:val="0000FF"/>
                  <w:sz w:val="20"/>
                  <w:u w:val="none"/>
                  <w:effect w:val="none"/>
                </w:rPr>
                <w:t>27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70">
              <w:r>
                <w:rPr>
                  <w:rStyle w:val="InternetLink"/>
                  <w:rFonts w:ascii="Times New Roman;serif" w:hAnsi="Times New Roman;serif"/>
                  <w:b w:val="false"/>
                  <w:color w:val="0000FF"/>
                  <w:sz w:val="20"/>
                  <w:u w:val="single"/>
                </w:rPr>
                <w:t>ITEM 1.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70">
              <w:r>
                <w:rPr>
                  <w:rStyle w:val="InternetLink"/>
                  <w:rFonts w:ascii="Times New Roman;serif" w:hAnsi="Times New Roman;serif"/>
                  <w:b w:val="false"/>
                  <w:strike w:val="false"/>
                  <w:dstrike w:val="false"/>
                  <w:color w:val="0000FF"/>
                  <w:sz w:val="20"/>
                  <w:u w:val="none"/>
                  <w:effect w:val="none"/>
                </w:rPr>
                <w:t>27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73">
              <w:r>
                <w:rPr>
                  <w:rStyle w:val="InternetLink"/>
                  <w:rFonts w:ascii="Times New Roman;serif" w:hAnsi="Times New Roman;serif"/>
                  <w:b w:val="false"/>
                  <w:color w:val="0000FF"/>
                  <w:sz w:val="20"/>
                  <w:u w:val="single"/>
                </w:rPr>
                <w:t>ITEM 1A.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73">
              <w:r>
                <w:rPr>
                  <w:rStyle w:val="InternetLink"/>
                  <w:rFonts w:ascii="Times New Roman;serif" w:hAnsi="Times New Roman;serif"/>
                  <w:b w:val="false"/>
                  <w:strike w:val="false"/>
                  <w:dstrike w:val="false"/>
                  <w:color w:val="0000FF"/>
                  <w:sz w:val="20"/>
                  <w:u w:val="none"/>
                  <w:effect w:val="none"/>
                </w:rPr>
                <w:t>28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76">
              <w:r>
                <w:rPr>
                  <w:rStyle w:val="InternetLink"/>
                  <w:rFonts w:ascii="Times New Roman;serif" w:hAnsi="Times New Roman;serif"/>
                  <w:b w:val="false"/>
                  <w:color w:val="0000FF"/>
                  <w:sz w:val="20"/>
                  <w:u w:val="single"/>
                </w:rPr>
                <w:t>ITEM 2.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76">
              <w:r>
                <w:rPr>
                  <w:rStyle w:val="InternetLink"/>
                  <w:rFonts w:ascii="Times New Roman;serif" w:hAnsi="Times New Roman;serif"/>
                  <w:b w:val="false"/>
                  <w:strike w:val="false"/>
                  <w:dstrike w:val="false"/>
                  <w:color w:val="0000FF"/>
                  <w:sz w:val="20"/>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79">
              <w:r>
                <w:rPr>
                  <w:rStyle w:val="InternetLink"/>
                  <w:rFonts w:ascii="Times New Roman;serif" w:hAnsi="Times New Roman;serif"/>
                  <w:b w:val="false"/>
                  <w:color w:val="0000FF"/>
                  <w:sz w:val="20"/>
                  <w:u w:val="single"/>
                </w:rPr>
                <w:t>ITEM 3. 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79">
              <w:r>
                <w:rPr>
                  <w:rStyle w:val="InternetLink"/>
                  <w:rFonts w:ascii="Times New Roman;serif" w:hAnsi="Times New Roman;serif"/>
                  <w:b w:val="false"/>
                  <w:strike w:val="false"/>
                  <w:dstrike w:val="false"/>
                  <w:color w:val="0000FF"/>
                  <w:sz w:val="20"/>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82">
              <w:r>
                <w:rPr>
                  <w:rStyle w:val="InternetLink"/>
                  <w:rFonts w:ascii="Times New Roman;serif" w:hAnsi="Times New Roman;serif"/>
                  <w:b w:val="false"/>
                  <w:color w:val="0000FF"/>
                  <w:sz w:val="20"/>
                  <w:u w:val="single"/>
                </w:rPr>
                <w:t>ITEM 4.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82">
              <w:r>
                <w:rPr>
                  <w:rStyle w:val="InternetLink"/>
                  <w:rFonts w:ascii="Times New Roman;serif" w:hAnsi="Times New Roman;serif"/>
                  <w:b w:val="false"/>
                  <w:strike w:val="false"/>
                  <w:dstrike w:val="false"/>
                  <w:color w:val="0000FF"/>
                  <w:sz w:val="20"/>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85">
              <w:r>
                <w:rPr>
                  <w:rStyle w:val="InternetLink"/>
                  <w:rFonts w:ascii="Times New Roman;serif" w:hAnsi="Times New Roman;serif"/>
                  <w:b w:val="false"/>
                  <w:color w:val="0000FF"/>
                  <w:sz w:val="20"/>
                  <w:u w:val="single"/>
                </w:rPr>
                <w:t>ITEM 5.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85">
              <w:r>
                <w:rPr>
                  <w:rStyle w:val="InternetLink"/>
                  <w:rFonts w:ascii="Times New Roman;serif" w:hAnsi="Times New Roman;serif"/>
                  <w:b w:val="false"/>
                  <w:strike w:val="false"/>
                  <w:dstrike w:val="false"/>
                  <w:color w:val="0000FF"/>
                  <w:sz w:val="20"/>
                  <w:u w:val="none"/>
                  <w:effect w:val="none"/>
                </w:rPr>
                <w:t>47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88">
              <w:r>
                <w:rPr>
                  <w:rStyle w:val="InternetLink"/>
                  <w:rFonts w:ascii="Times New Roman;serif" w:hAnsi="Times New Roman;serif"/>
                  <w:b w:val="false"/>
                  <w:color w:val="0000FF"/>
                  <w:sz w:val="20"/>
                  <w:u w:val="single"/>
                </w:rPr>
                <w:t>ITEM 6.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88">
              <w:r>
                <w:rPr>
                  <w:rStyle w:val="InternetLink"/>
                  <w:rFonts w:ascii="Times New Roman;serif" w:hAnsi="Times New Roman;serif"/>
                  <w:b w:val="false"/>
                  <w:strike w:val="false"/>
                  <w:dstrike w:val="false"/>
                  <w:color w:val="0000FF"/>
                  <w:sz w:val="20"/>
                  <w:u w:val="none"/>
                  <w:effect w:val="non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a2af5ac6744b29ab9143d5acbe9397_91">
              <w:r>
                <w:rPr>
                  <w:rStyle w:val="InternetLink"/>
                  <w:rFonts w:ascii="Times New Roman;serif" w:hAnsi="Times New Roman;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a2af5ac6744b29ab9143d5acbe9397_91">
              <w:r>
                <w:rPr>
                  <w:rStyle w:val="InternetLink"/>
                  <w:rFonts w:ascii="Times New Roman;serif" w:hAnsi="Times New Roman;serif"/>
                  <w:b w:val="false"/>
                  <w:strike w:val="false"/>
                  <w:dstrike w:val="false"/>
                  <w:color w:val="0000FF"/>
                  <w:sz w:val="20"/>
                  <w:u w:val="none"/>
                  <w:effect w:val="non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097" w:type="dxa"/>
        <w:jc w:val="center"/>
        <w:tblInd w:w="0" w:type="dxa"/>
        <w:tblLayout w:type="fixed"/>
        <w:tblCellMar>
          <w:top w:w="28" w:type="dxa"/>
          <w:left w:w="28" w:type="dxa"/>
          <w:bottom w:w="28" w:type="dxa"/>
          <w:right w:w="28" w:type="dxa"/>
        </w:tblCellMar>
      </w:tblPr>
      <w:tblGrid>
        <w:gridCol w:w="1562"/>
        <w:gridCol w:w="1378"/>
        <w:gridCol w:w="1380"/>
        <w:gridCol w:w="211"/>
        <w:gridCol w:w="826"/>
        <w:gridCol w:w="109"/>
        <w:gridCol w:w="109"/>
        <w:gridCol w:w="109"/>
        <w:gridCol w:w="109"/>
        <w:gridCol w:w="231"/>
        <w:gridCol w:w="905"/>
        <w:gridCol w:w="168"/>
      </w:tblGrid>
      <w:tr>
        <w:trPr/>
        <w:tc>
          <w:tcPr>
            <w:tcW w:w="15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(See Note 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 of allowances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485,464 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836,651 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166,085 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accrued government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accrued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188,846 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647,805 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836,651 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035"/>
        <w:gridCol w:w="1476"/>
        <w:gridCol w:w="1471"/>
        <w:gridCol w:w="278"/>
        <w:gridCol w:w="620"/>
        <w:gridCol w:w="128"/>
        <w:gridCol w:w="128"/>
        <w:gridCol w:w="128"/>
        <w:gridCol w:w="128"/>
        <w:gridCol w:w="278"/>
        <w:gridCol w:w="620"/>
        <w:gridCol w:w="128"/>
        <w:gridCol w:w="109"/>
        <w:gridCol w:w="109"/>
        <w:gridCol w:w="109"/>
        <w:gridCol w:w="253"/>
        <w:gridCol w:w="595"/>
        <w:gridCol w:w="121"/>
        <w:gridCol w:w="121"/>
        <w:gridCol w:w="121"/>
        <w:gridCol w:w="121"/>
        <w:gridCol w:w="253"/>
        <w:gridCol w:w="595"/>
        <w:gridCol w:w="121"/>
        <w:gridCol w:w="159"/>
      </w:tblGrid>
      <w:tr>
        <w:trPr/>
        <w:tc>
          <w:tcPr>
            <w:tcW w:w="203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421,050 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167,755 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321,553 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41,300 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31,692 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common share</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common share</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used in computing net income per common share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9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118,385 </w:t>
            </w:r>
          </w:p>
        </w:tc>
        <w:tc>
          <w:tcPr>
            <w:tcW w:w="12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120,485 </w:t>
            </w:r>
          </w:p>
        </w:tc>
        <w:tc>
          <w:tcPr>
            <w:tcW w:w="12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116,373 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120,227 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35"/>
        <w:gridCol w:w="1519"/>
        <w:gridCol w:w="1533"/>
        <w:gridCol w:w="219"/>
        <w:gridCol w:w="748"/>
        <w:gridCol w:w="112"/>
        <w:gridCol w:w="112"/>
        <w:gridCol w:w="112"/>
        <w:gridCol w:w="112"/>
        <w:gridCol w:w="219"/>
        <w:gridCol w:w="748"/>
        <w:gridCol w:w="112"/>
        <w:gridCol w:w="109"/>
        <w:gridCol w:w="109"/>
        <w:gridCol w:w="109"/>
        <w:gridCol w:w="214"/>
        <w:gridCol w:w="625"/>
        <w:gridCol w:w="110"/>
        <w:gridCol w:w="110"/>
        <w:gridCol w:w="110"/>
        <w:gridCol w:w="110"/>
        <w:gridCol w:w="214"/>
        <w:gridCol w:w="731"/>
        <w:gridCol w:w="110"/>
        <w:gridCol w:w="163"/>
      </w:tblGrid>
      <w:tr>
        <w:trPr/>
        <w:tc>
          <w:tcPr>
            <w:tcW w:w="183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investments, net of tax effect of $0, $21, $253 and $(154), respectively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820"/>
        <w:gridCol w:w="2352"/>
        <w:gridCol w:w="2368"/>
        <w:gridCol w:w="211"/>
        <w:gridCol w:w="826"/>
        <w:gridCol w:w="109"/>
        <w:gridCol w:w="109"/>
        <w:gridCol w:w="109"/>
        <w:gridCol w:w="109"/>
        <w:gridCol w:w="211"/>
        <w:gridCol w:w="826"/>
        <w:gridCol w:w="155"/>
      </w:tblGrid>
      <w:tr>
        <w:trPr/>
        <w:tc>
          <w:tcPr>
            <w:tcW w:w="2820"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 net of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purchases under the Employee Stock Purchase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in connection with Stock Repurchase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satisfy statutory withholding requirement for net settlement of cashless option exercises and vesting of restricted stock grants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(142,737)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exchange rate changes on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cost of shares repurchased for net settlement of cashless option exercises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421" w:type="dxa"/>
        <w:jc w:val="center"/>
        <w:tblInd w:w="0" w:type="dxa"/>
        <w:tblLayout w:type="fixed"/>
        <w:tblCellMar>
          <w:top w:w="28" w:type="dxa"/>
          <w:left w:w="28" w:type="dxa"/>
          <w:bottom w:w="28" w:type="dxa"/>
          <w:right w:w="28" w:type="dxa"/>
        </w:tblCellMar>
      </w:tblPr>
      <w:tblGrid>
        <w:gridCol w:w="644"/>
        <w:gridCol w:w="263"/>
        <w:gridCol w:w="264"/>
        <w:gridCol w:w="368"/>
        <w:gridCol w:w="368"/>
        <w:gridCol w:w="196"/>
        <w:gridCol w:w="109"/>
        <w:gridCol w:w="109"/>
        <w:gridCol w:w="109"/>
        <w:gridCol w:w="196"/>
        <w:gridCol w:w="42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09"/>
        <w:gridCol w:w="109"/>
        <w:gridCol w:w="109"/>
        <w:gridCol w:w="109"/>
        <w:gridCol w:w="205"/>
        <w:gridCol w:w="773"/>
        <w:gridCol w:w="163"/>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incentive award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tendered to satisfy cost and statutory withholding requirements for net settlement of cashless option exercises and vesting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RSAs in connection with ESPP</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107,328 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(976,688)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637,987 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incentive award plan,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tendered to satisfy cost and statutory withholding requirements for net settlement of cashless option exercises and vesting of restricted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RSAs in connection with ESPP</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1,048,598 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705,776 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86" w:type="dxa"/>
        <w:jc w:val="center"/>
        <w:tblInd w:w="0" w:type="dxa"/>
        <w:tblLayout w:type="fixed"/>
        <w:tblCellMar>
          <w:top w:w="28" w:type="dxa"/>
          <w:left w:w="28" w:type="dxa"/>
          <w:bottom w:w="28" w:type="dxa"/>
          <w:right w:w="28" w:type="dxa"/>
        </w:tblCellMar>
      </w:tblPr>
      <w:tblGrid>
        <w:gridCol w:w="644"/>
        <w:gridCol w:w="263"/>
        <w:gridCol w:w="264"/>
        <w:gridCol w:w="368"/>
        <w:gridCol w:w="368"/>
        <w:gridCol w:w="19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09"/>
        <w:gridCol w:w="109"/>
        <w:gridCol w:w="109"/>
        <w:gridCol w:w="109"/>
        <w:gridCol w:w="205"/>
        <w:gridCol w:w="773"/>
        <w:gridCol w:w="163"/>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105,113 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incentive award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tendered to satisfy cost and statutory withholding requirements for net settlement of cashless option exercises and vesting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 connection with Stock Repurchase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RSAs in connection with ESPP</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105,984 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(744,692)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683,285 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incentive award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tendered to satisfy cost and statutory withholding requirements for net settlement of cashless option exercises and vesting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 connection with Stock Repurchase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RSAs in connection with ESPP</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105,288 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(866,931)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635,793 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Corcept Therapeutics Incorporated (collectively, “Corcept,” the “Company,” “we,” “us,” and “our”) is a commercial-stage biopharmaceutical company engaged in the discovery and development of medications to treat severe endocrinologic, oncologic, metabolic and neurologic disorders by modulating the effects of the hormone cortisol. In 2012, the United States Food and Drug Administration (“FDA”) approved Korlym</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In June 2024, we made an authorized generic version of Korlym available. In March 2026, the FDA approved Lifyorli</w:t>
      </w:r>
      <w:r>
        <w:rPr>
          <w:color w:val="000000"/>
        </w:rPr>
        <w:t xml:space="preserve">™ </w:t>
      </w:r>
      <w:r>
        <w:rPr>
          <w:rFonts w:ascii="Times New Roman;serif" w:hAnsi="Times New Roman;serif"/>
          <w:b w:val="false"/>
          <w:color w:val="000000"/>
          <w:sz w:val="20"/>
        </w:rPr>
        <w:t>(relacorilant) in combination with the chemotherapy medication nab-paclitaxel as a treatment for patients with platinum-resistant epithelial ovarian, fallopian tube, or primary peritoneal cancer who have received one to three prior systemic treatment regimens, at least one of which included bevacizumab. In April 2026, we began selling and distributing Lifyorli in the United States. We have discovered and patented five structurally distinct series of selective cortisol modulators, consisting of more than 1,000 compounds. We are developing compounds from these series as potential treatments for a broad range of serious disorders.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incorporated in the State of Delaware in May 1998. Our headquarters is located in Redwood City, California.</w: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prepared the following in accordance with U.S. generally accepted accounting principles (“GAAP”) for interim financial information and with the instructions to Form 10-Q and Article 10 of Regulation S-X: (i) condensed consolidated balance sheet as of June 30, 2026 and (ii) condensed consolidated statements of income, comprehensive income, cash flows and stockholders’ equity for the three- and six-month periods ended June 30, 2026 and 2025. These do not include all of the information and footnotes required by GAAP for complete financial statements. In the opinion of management, all adjustments considered necessary for a fair presentation (which in the applicable periods consist only of normal, recurring adjustments) have been included. Operating results for the three- and six-month periods ended June 30, 2026 are not necessarily indicative of the results for the remainder of 2026 or any other period. These financial statements and notes should be read in conjunction with the financial statements for the year ended December 31, 2025 included in our Annual Report on Form 10-K. The December 31, 2025 balance sheet was derived from audited financial statements at that date.</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the way we organize our business, make decisions, allocate resources and assess performance, we have determined that Corcept has a single reportable segment – the discovery, development and commercialization of pharmaceutical products. Our Chief Executive Officer, Joseph K. Belanoff, M.D., is the Chief Operating Decision Maker (“CODM”), with ultimate responsibility for its activities and performance. He bases his decisions as CODM on regular reviews of our consolidated balance sheets (including cash and cash equivalents, investments and liabilities), statements of income (including revenue, expense and net income), statements of cash flows, and regular reviews of expenses that are consistent with those disclosed in our consolidated statements of income.</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Net Product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sell Korlym and our authorized generic version of Korlym (our “Hypercortisolism Products”) and Lifyorli (collectively with our Hypercortisolism Products, our “Products”) in the United States through specialty pharmacies and specialty distributors. We sell our Products directly to patients through specialty pharmacies and hospitals and other purchasers through specialty distributors. We recognize revenue for sales directly to patients at the time the patient receives the medication. We recognize revenue from sales to specialty distributors at the time the specialty distributor receives the medication.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determine revenue from the sale of our Products, we (i) identify our contract with each customer; (ii) identify the obligations of Corcept under the contract; (iii) determine the transaction price; (iv) allocate the transaction price to our performance obligation under the contracts, which is to deliver the Products to the customers; and (v) recognize revenue once our Products have been delivered and control has transferred to the customer. We recognize revenue provided we deem it probable that we will collect the payment due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Confirmation of coverage by private or government insurance or by a third-party charity is a prerequisite for selling our Products to a patient through the specialty pharmacy channel.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determine net product revenue, we deduct from gross sales the cost of our patient co-pay assistance programs and our estimates of government chargebacks and rebates, prompt-payment discounts, distribution and administrative fees, voucher assistance and reserves for expected returns, as applicable to each product and channel. We record these estimates at the time we recognize revenue and update them as new information becomes available. Our estimates take into account our understanding of the range of possible outcomes. If results differ from our estimates, we adjust our estimates, which changes our net product revenue and earnings. We report any changes in the period they become known, even if they concern transactions occurring in prior periods.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Government Rebates:</w:t>
      </w:r>
      <w:r>
        <w:rPr>
          <w:color w:val="000000"/>
        </w:rPr>
        <w:t xml:space="preserve"> </w:t>
      </w:r>
      <w:r>
        <w:rPr>
          <w:rFonts w:ascii="Times New Roman;serif" w:hAnsi="Times New Roman;serif"/>
          <w:b w:val="false"/>
          <w:color w:val="000000"/>
          <w:sz w:val="20"/>
        </w:rPr>
        <w:t>Our Products are eligible for purchase by, or qualify for reimbursement from, Medicaid, Medicare and other government programs that are eligible for rebates on the price they pay for our Products. To determine the appropriate amount to reserve against these rebates, we identify or estimate Products sold to specialty distributors and patients covered by government-funded programs, apply the applicable government discount to these sales, then estimate utilization of such programs by government payors. We (i) deduct this reserve from revenue in the period to which the rebates relate and (ii) include in accrued expenses on our condensed consolidated balance sheet current or long-term liabilities of an equal amount.</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Although we sell our Hypercortisolism Products to the specialty distributor at full price, some of the government entities to which the specialty distributor sells receive a negotiated price. The specialty distributor recovers the full amount of any related price differences by reducing its payment to us (this reduction is called a “chargeback”). Chargebacks sometimes relate to our Hypercortisolism Products purchased by the specialty distributor in prior periods. We deduct from our revenue in each period chargebacks claimed by the specialty distributor for our Hypercortisolism Products it purchased in that period. We also create a reserve for chargebacks we estimate the specialty distributor will claim in future periods against Hypercortisolism Products it purchased in the current period but has not yet resold. We determine the amount of this reserve based on our experience with chargebacks and our understanding of the specialty distributor’s customers and business practices. We deduct this reserve from revenue and include in accrued expenses on our consolidated balance sheet a current liability of an equal amount. To date, chargebacks for our Hypercortisolism Products have not been material. For Lifyorli, hospitals, clinics, government purchasers and other eligible entities may purchase Lifyorli at contractually or statutorily negotiated prices. We estimate these related chargebacks based on applicable contractual or statutory requirements, expected utilization, claims activity and available product-specific or other informative data. These estimates are recorded as reductions in revenue for the period in which the related revenue is recognized, with a corresponding liability included in accrued expenses.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Discounts, Distribution Fees, Patient Assistance Programs and Charitable Support:</w:t>
      </w:r>
      <w:r>
        <w:rPr>
          <w:color w:val="000000"/>
        </w:rPr>
        <w:t xml:space="preserve"> </w:t>
      </w:r>
      <w:r>
        <w:rPr>
          <w:rFonts w:ascii="Times New Roman;serif" w:hAnsi="Times New Roman;serif"/>
          <w:b w:val="false"/>
          <w:color w:val="000000"/>
          <w:sz w:val="20"/>
        </w:rPr>
        <w:t>We provide prompt-payment discounts and in some cases pay distribution, administrative, data or other fees in connection with the distribution of our Products, particularly those sold through specialty distributors. We also offer financial assistance to eligible patients whose insurance policies have high deductibles or co-payments. We determine the assistance we provide each patient by applying our program guidelines to that patient’s financial position and the patient’s insurance policy’s co-payment and deductible requirements. We deduct any fees we pay or patient assistance we provide from gross revenue. We provide prompt-payment discounts and pay distribution and administrative fees in connection with sales of Lifyorli. We also provide copay and voucher assistance to eligible commercially-insured patients. We record these amounts as reductions in revenue based on contractual terms, expected payment behavior, actual and expected claims activity and other available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our Hypercortisolism Products, we donate cash to charities that help patients with financial need pay for treatment, including treatment of Cushing’s syndrome. We do not include payments from these charities in revenue, but record our donations as a deduction to selling, general and administrative expenses. We also provide our Hypercortisolism Products at no cost to eligible patients through patient assistance, replacement or starter programs. We do not recognize revenue for free product dispensed under these programs and record the cost of these products as selling, general and administrative expenses.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provide Lifyorli at no cost to eligible patients through patient assistance and starter drug programs. We do not recognize revenue for free product dispensed under these programs and record the cost of these products as selling, general and administrative expenses.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Sales Returns:</w:t>
      </w:r>
      <w:r>
        <w:rPr>
          <w:color w:val="000000"/>
        </w:rPr>
        <w:t xml:space="preserve"> </w:t>
      </w:r>
      <w:r>
        <w:rPr>
          <w:rFonts w:ascii="Times New Roman;serif" w:hAnsi="Times New Roman;serif"/>
          <w:b w:val="false"/>
          <w:color w:val="000000"/>
          <w:sz w:val="20"/>
        </w:rPr>
        <w:t>Federal law prohibits the return of Products sold to patients through the specialty pharmacies. Sales to our specialty distributor are subject to return under our returned goods policy. We deduct the amount of Products we estimate each distributor will return from each period’s gross revenue. We base our estimates on quantitative and qualitative information including, but not limited to, that distributor’s historical return rates, the amount of Products held by that distributor and projected demand. To date, returns have not been material.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other material changes or additions to the significant accounting policies described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No. 2024-03, which requires additional information about certain expense categories in the notes to financial statements. This ASU is effective for public companies with annual periods beginning after December 15, 2026, with early adoption permitted. We plan to adopt this guidance for the fiscal year ending December 31, 2027. We are evaluating the effects adoption of this guidance will have on the condensed consolidated financial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which improves the accounting for internal software by eliminating the concept of development stages and requiring capitalization of software costs once management has authorized and committed funding for the project and it is probable the project will be completed and placed in service as intended. This ASU is effective for public companies with annual periods beginning after December 15, 2027, with early adoption permitted. We plan to adopt this guidance for the fiscal year ending December 31, 2028. We are evaluating the effects adoption of this guidance will have on the condensed consolidated financial statements.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December 2025, the FASB issued ASU No. 2025-11, which amends ASC 270,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(“ASC 270”) to clarify the scope, form, and content of interim financial statements and centralizes interim disclosure requirements within ASC 270. This ASU introduces a new interim disclosure principle requiring entities to disclose material events and changes occurring since the last annual reporting period and clarifies the preparation and presentation of condensed interim financial information. This ASU is effective for public companies for interim periods within fiscal years beginning after December 15, 2027, with early adoption permitted. We are evaluating the effects adoption of this guidance will have on the condensed consolidated financial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there were several other new accounting pronouncements issued by the FASB during the three and six months ended June 30, 2026, we do not believe any of them had or will have a material impact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2. Composition of Certain Balance Sheet Items</w:t>
      </w:r>
    </w:p>
    <w:p>
      <w:pPr>
        <w:pStyle w:val="TextBody"/>
        <w:bidi w:val="0"/>
        <w:spacing w:lineRule="auto" w:line="288" w:before="180" w:after="18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Inventory</w:t>
      </w:r>
    </w:p>
    <w:tbl>
      <w:tblPr>
        <w:tblW w:w="6737" w:type="dxa"/>
        <w:jc w:val="left"/>
        <w:tblInd w:w="0" w:type="dxa"/>
        <w:tblLayout w:type="fixed"/>
        <w:tblCellMar>
          <w:top w:w="28" w:type="dxa"/>
          <w:left w:w="28" w:type="dxa"/>
          <w:bottom w:w="28" w:type="dxa"/>
          <w:right w:w="28" w:type="dxa"/>
        </w:tblCellMar>
      </w:tblPr>
      <w:tblGrid>
        <w:gridCol w:w="1472"/>
        <w:gridCol w:w="1291"/>
        <w:gridCol w:w="1301"/>
        <w:gridCol w:w="211"/>
        <w:gridCol w:w="721"/>
        <w:gridCol w:w="109"/>
        <w:gridCol w:w="109"/>
        <w:gridCol w:w="109"/>
        <w:gridCol w:w="109"/>
        <w:gridCol w:w="253"/>
        <w:gridCol w:w="867"/>
        <w:gridCol w:w="185"/>
      </w:tblGrid>
      <w:tr>
        <w:trPr/>
        <w:tc>
          <w:tcPr>
            <w:tcW w:w="147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strategic inventory classified as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classified as current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purchased and hold significant quantities of active pharmaceutical ingredient (“API”) for our Products, which are included in raw materials and work in progress inventory. We classify inventory we do not expect to utilize within 12 months of the balance sheet date as “strategic inventory,” a non-current asset.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receiving regulatory approval, we record the cost of manufacturing our product candidates as research and development expense at the time it is incurred. We capitalize manufacturing costs incurred after regulatory approval as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Prepaid expenses and other current assets</w:t>
      </w:r>
    </w:p>
    <w:tbl>
      <w:tblPr>
        <w:tblW w:w="6602" w:type="dxa"/>
        <w:jc w:val="left"/>
        <w:tblInd w:w="0" w:type="dxa"/>
        <w:tblLayout w:type="fixed"/>
        <w:tblCellMar>
          <w:top w:w="28" w:type="dxa"/>
          <w:left w:w="28" w:type="dxa"/>
          <w:bottom w:w="28" w:type="dxa"/>
          <w:right w:w="28" w:type="dxa"/>
        </w:tblCellMar>
      </w:tblPr>
      <w:tblGrid>
        <w:gridCol w:w="1423"/>
        <w:gridCol w:w="1249"/>
        <w:gridCol w:w="1257"/>
        <w:gridCol w:w="211"/>
        <w:gridCol w:w="721"/>
        <w:gridCol w:w="109"/>
        <w:gridCol w:w="109"/>
        <w:gridCol w:w="109"/>
        <w:gridCol w:w="109"/>
        <w:gridCol w:w="253"/>
        <w:gridCol w:w="867"/>
        <w:gridCol w:w="185"/>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clinical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Accrued and other liabilities</w:t>
      </w:r>
    </w:p>
    <w:tbl>
      <w:tblPr>
        <w:tblW w:w="6063" w:type="dxa"/>
        <w:jc w:val="left"/>
        <w:tblInd w:w="0" w:type="dxa"/>
        <w:tblLayout w:type="fixed"/>
        <w:tblCellMar>
          <w:top w:w="28" w:type="dxa"/>
          <w:left w:w="28" w:type="dxa"/>
          <w:bottom w:w="28" w:type="dxa"/>
          <w:right w:w="28" w:type="dxa"/>
        </w:tblCellMar>
      </w:tblPr>
      <w:tblGrid>
        <w:gridCol w:w="1190"/>
        <w:gridCol w:w="1046"/>
        <w:gridCol w:w="1049"/>
        <w:gridCol w:w="211"/>
        <w:gridCol w:w="826"/>
        <w:gridCol w:w="109"/>
        <w:gridCol w:w="109"/>
        <w:gridCol w:w="109"/>
        <w:gridCol w:w="109"/>
        <w:gridCol w:w="253"/>
        <w:gridCol w:w="867"/>
        <w:gridCol w:w="185"/>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accrued government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selling and marketing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90,603 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3. Available-for-Sale Marketable Securities and Fair Value Measurements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available-for-sale securities in our condensed consolidated balance sheets are as follows:</w:t>
      </w:r>
    </w:p>
    <w:tbl>
      <w:tblPr>
        <w:tblW w:w="5507" w:type="dxa"/>
        <w:jc w:val="left"/>
        <w:tblInd w:w="0" w:type="dxa"/>
        <w:tblLayout w:type="fixed"/>
        <w:tblCellMar>
          <w:top w:w="28" w:type="dxa"/>
          <w:left w:w="28" w:type="dxa"/>
          <w:bottom w:w="28" w:type="dxa"/>
          <w:right w:w="28" w:type="dxa"/>
        </w:tblCellMar>
      </w:tblPr>
      <w:tblGrid>
        <w:gridCol w:w="988"/>
        <w:gridCol w:w="869"/>
        <w:gridCol w:w="873"/>
        <w:gridCol w:w="211"/>
        <w:gridCol w:w="826"/>
        <w:gridCol w:w="109"/>
        <w:gridCol w:w="109"/>
        <w:gridCol w:w="109"/>
        <w:gridCol w:w="109"/>
        <w:gridCol w:w="231"/>
        <w:gridCol w:w="905"/>
        <w:gridCol w:w="168"/>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511,695 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available-for-sale securities grouped by asset type:</w:t>
      </w:r>
    </w:p>
    <w:tbl>
      <w:tblPr>
        <w:tblW w:w="12186" w:type="dxa"/>
        <w:jc w:val="left"/>
        <w:tblInd w:w="0" w:type="dxa"/>
        <w:tblLayout w:type="fixed"/>
        <w:tblCellMar>
          <w:top w:w="28" w:type="dxa"/>
          <w:left w:w="28" w:type="dxa"/>
          <w:bottom w:w="28" w:type="dxa"/>
          <w:right w:w="28" w:type="dxa"/>
        </w:tblCellMar>
      </w:tblPr>
      <w:tblGrid>
        <w:gridCol w:w="444"/>
        <w:gridCol w:w="258"/>
        <w:gridCol w:w="259"/>
        <w:gridCol w:w="285"/>
        <w:gridCol w:w="285"/>
        <w:gridCol w:w="286"/>
        <w:gridCol w:w="109"/>
        <w:gridCol w:w="109"/>
        <w:gridCol w:w="109"/>
        <w:gridCol w:w="196"/>
        <w:gridCol w:w="736"/>
        <w:gridCol w:w="109"/>
        <w:gridCol w:w="109"/>
        <w:gridCol w:w="109"/>
        <w:gridCol w:w="109"/>
        <w:gridCol w:w="239"/>
        <w:gridCol w:w="513"/>
        <w:gridCol w:w="134"/>
        <w:gridCol w:w="109"/>
        <w:gridCol w:w="109"/>
        <w:gridCol w:w="109"/>
        <w:gridCol w:w="234"/>
        <w:gridCol w:w="521"/>
        <w:gridCol w:w="131"/>
        <w:gridCol w:w="109"/>
        <w:gridCol w:w="109"/>
        <w:gridCol w:w="109"/>
        <w:gridCol w:w="196"/>
        <w:gridCol w:w="736"/>
        <w:gridCol w:w="109"/>
        <w:gridCol w:w="109"/>
        <w:gridCol w:w="109"/>
        <w:gridCol w:w="109"/>
        <w:gridCol w:w="196"/>
        <w:gridCol w:w="736"/>
        <w:gridCol w:w="109"/>
        <w:gridCol w:w="109"/>
        <w:gridCol w:w="109"/>
        <w:gridCol w:w="109"/>
        <w:gridCol w:w="239"/>
        <w:gridCol w:w="513"/>
        <w:gridCol w:w="134"/>
        <w:gridCol w:w="109"/>
        <w:gridCol w:w="109"/>
        <w:gridCol w:w="109"/>
        <w:gridCol w:w="309"/>
        <w:gridCol w:w="404"/>
        <w:gridCol w:w="173"/>
        <w:gridCol w:w="109"/>
        <w:gridCol w:w="109"/>
        <w:gridCol w:w="109"/>
        <w:gridCol w:w="196"/>
        <w:gridCol w:w="736"/>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securities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510,879 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marketable securities classified as Level 1 using quoted market prices obtained from a commercial pricing service for these or identical investments. We estimate the fair value of marketable securities classified as Level 2 using inputs that may include benchmark yields, reported trades, broker/dealer quotes and issuer spreads.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periodically review our debt securities to determine if any of our investments is impaired due to the issuer’s poor credit or other reasons. If the fair value of our investment is less than our amortized cost, we evaluate quantitative and subjective factors – including, but not limited to, the nature of the security, changes in credit ratings and analyst reports concerning the security’s issuer and industry, and interest rate fluctuations and general market conditions – to determine whether an allowance for credit losses is appropriate.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 of our investments, including those with unrealized losses, are impaired. Unrealized losses on our investments are due to interest rate fluctuations. It is unlikely that we will sell any investments with significant unrealized losses before recovery of their amortized cost basis, which may be at maturity. Accordingly, we have not recorded an allowance for credit losses for these investments.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classified accrued interest on our marketable securities of $4.5 million and $4.1 million as of June 30, 2026 and December 31, 2025, respectively, as prepaid expenses and other current assets on our condensed consolidated balance sheets.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all of our long-term marketable securities had original maturities of no more than 25 months and all of our marketable securities classified as short-term have maturities of less than one year. The weighted-average maturity of our short-term and long-term marketable securities was ten months. As of June 30, 2026, our long-term marketable securities had remaining maturities between 13 months and 24 months. None of our marketable securities changed from one fair value hierarchy to another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4. Commitments and Contingencies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to ensure we have sufficient API to meet future demand for Korlym and our authorized generic version of Korlym, we committed to purchase an additional 1,450 kilograms of API for a total price of $10.2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other material changes in our obligations under contractual agreements described in our Annual Report on Form 10-K for the year ended December 31, 2025.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be subject to legal claims and regulatory actions that could have a material adverse effect on our business or financial position. We assess our potential liability in such situations by analyzing potential outcomes under various litigation, regulatory and settlement strategies. If we determine a loss is probable and its amount can be reasonably estimated, we accrue an amount equal to the estimated loss.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To date, we have recorded no losses and no provision for a loss contingency with respect to any matter. For further information about our ongoing legal matters, see </w:t>
      </w:r>
      <w:r>
        <w:rPr>
          <w:rFonts w:ascii="Times New Roman;serif" w:hAnsi="Times New Roman;serif"/>
          <w:b w:val="false"/>
          <w:i/>
          <w:color w:val="000000"/>
          <w:sz w:val="20"/>
        </w:rPr>
        <w:t>Part II, Item 1,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we entered into a six-year sublease (the “Sublease”) with Zuora, Inc. for office space located at 101 Redwood Shores Parkway, Redwood City, California, effective from July 1, 2024. The leased property became our new headquarters effective August 1, 2024. The portion of the premises subject to the Sublease is 50,632 rentable square feet. The Sublease commenced on June 1, 2024 due to early access rights and will end on June 30, 2030. We are obligated to pay a base rent of an average of $1.5 million annually over the term of the lease. As a result of the agreement, we recorded a right-of-use asset and corresponding lease liability related to the leased property based on the present value of future lease payments.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we exercised an expansion option (the “Expansion Sublease”) with Zuora, Inc. for additional office space located at 101 Redwood Shores Parkway, Redwood City, California. The portion of the premises subject to the Expansion Sublease is 40,884 rentable square feet. The Expansion Sublease commenced in the first quarter of 2026 and will end on the same date as the Sublease, June 30, 2030. We are obligated to pay an additional base rent of an average of $1.0 million annually over the term of the lease. As a result of the Expansion Sublease, we recorded a right-of-use asset and corresponding lease liability related to the leased property based on the present value of future lease payments.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operating leases for our facilities do not provide sufficient information to determine the implicit borrowing rate, we calculated the present value of remaining lease payments using a discount rate equal to the interest rate we would pay on a collateralized loan with monthly payments and a term equal to the remaining term of our lease. Operating lease right-of-use assets also include any rent paid prior to the commencement date, less any lease incentives received. We recognize operating lease payments as expenses using the straight-line method over the term of the lease.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expense for the three and six months ended June 30, 2026 was $1.0 million and $1.7 million, respectively, which include variable lease costs of $0.4 million and $0.7 million, respectively, primarily related to common area maintenance and other administrative expenses. In the comparable periods in 2025, operating lease expense was $0.6 million and $1.3 million, respectively, which include variable lease costs of $0.2 million and $0.6 million, respectively.</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related to operating leases was as follows (in thousands, except weighted average amounts):</w:t>
      </w:r>
    </w:p>
    <w:tbl>
      <w:tblPr>
        <w:tblW w:w="10205" w:type="dxa"/>
        <w:jc w:val="left"/>
        <w:tblInd w:w="0" w:type="dxa"/>
        <w:tblLayout w:type="fixed"/>
        <w:tblCellMar>
          <w:top w:w="28" w:type="dxa"/>
          <w:left w:w="28" w:type="dxa"/>
          <w:bottom w:w="28" w:type="dxa"/>
          <w:right w:w="28" w:type="dxa"/>
        </w:tblCellMar>
      </w:tblPr>
      <w:tblGrid>
        <w:gridCol w:w="1824"/>
        <w:gridCol w:w="1555"/>
        <w:gridCol w:w="1560"/>
        <w:gridCol w:w="278"/>
        <w:gridCol w:w="615"/>
        <w:gridCol w:w="143"/>
        <w:gridCol w:w="143"/>
        <w:gridCol w:w="143"/>
        <w:gridCol w:w="143"/>
        <w:gridCol w:w="278"/>
        <w:gridCol w:w="615"/>
        <w:gridCol w:w="143"/>
        <w:gridCol w:w="109"/>
        <w:gridCol w:w="109"/>
        <w:gridCol w:w="109"/>
        <w:gridCol w:w="211"/>
        <w:gridCol w:w="616"/>
        <w:gridCol w:w="271"/>
        <w:gridCol w:w="109"/>
        <w:gridCol w:w="109"/>
        <w:gridCol w:w="109"/>
        <w:gridCol w:w="212"/>
        <w:gridCol w:w="471"/>
        <w:gridCol w:w="330"/>
      </w:tblGrid>
      <w:tr>
        <w:trPr/>
        <w:tc>
          <w:tcPr>
            <w:tcW w:w="182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right-of-use asset in exchange for lease liability</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months</w:t>
            </w:r>
          </w:p>
        </w:tc>
      </w:tr>
      <w:tr>
        <w:trPr/>
        <w:tc>
          <w:tcPr>
            <w:tcW w:w="4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under non-cancelable operating leases were as follows (in thousands):</w:t>
      </w:r>
    </w:p>
    <w:tbl>
      <w:tblPr>
        <w:tblW w:w="4490" w:type="dxa"/>
        <w:jc w:val="left"/>
        <w:tblInd w:w="0" w:type="dxa"/>
        <w:tblLayout w:type="fixed"/>
        <w:tblCellMar>
          <w:top w:w="28" w:type="dxa"/>
          <w:left w:w="28" w:type="dxa"/>
          <w:bottom w:w="28" w:type="dxa"/>
          <w:right w:w="28" w:type="dxa"/>
        </w:tblCellMar>
      </w:tblPr>
      <w:tblGrid>
        <w:gridCol w:w="1273"/>
        <w:gridCol w:w="1114"/>
        <w:gridCol w:w="1122"/>
        <w:gridCol w:w="211"/>
        <w:gridCol w:w="61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stock-based compensation by financial statement classification:</w:t>
      </w:r>
    </w:p>
    <w:tbl>
      <w:tblPr>
        <w:tblW w:w="8656" w:type="dxa"/>
        <w:jc w:val="left"/>
        <w:tblInd w:w="0" w:type="dxa"/>
        <w:tblLayout w:type="fixed"/>
        <w:tblCellMar>
          <w:top w:w="28" w:type="dxa"/>
          <w:left w:w="28" w:type="dxa"/>
          <w:bottom w:w="28" w:type="dxa"/>
          <w:right w:w="28" w:type="dxa"/>
        </w:tblCellMar>
      </w:tblPr>
      <w:tblGrid>
        <w:gridCol w:w="1180"/>
        <w:gridCol w:w="1035"/>
        <w:gridCol w:w="1040"/>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19,130 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7. Net Income Per Share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compute our basic and diluted net income per share in conformity with the two-class method because Restricted Stock Awards (“RSAs”) include voting and dividend rights and are therefore participating shares. Under the two-class method, net income is determined by allocating net income between common stock and unvested RSAs. We compute basic net income per share by dividing our net income attributable to common stockholders by the weighted-average number of common shares outstanding during the period. We compute diluted net income per share by dividing our net income attributable to common stockholders by the weighted-average number of common shares outstanding during the period, including potentially dilutive stock options and unvested Restricted Stock Units (“RSUs”), less unvested RSAs. We use the treasury stock method to determine the number of dilutive shares of common stock resulting from stock options and unvested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net income per share for each period:</w:t>
      </w:r>
    </w:p>
    <w:tbl>
      <w:tblPr>
        <w:tblW w:w="10205" w:type="dxa"/>
        <w:jc w:val="left"/>
        <w:tblInd w:w="0" w:type="dxa"/>
        <w:tblLayout w:type="fixed"/>
        <w:tblCellMar>
          <w:top w:w="28" w:type="dxa"/>
          <w:left w:w="28" w:type="dxa"/>
          <w:bottom w:w="28" w:type="dxa"/>
          <w:right w:w="28" w:type="dxa"/>
        </w:tblCellMar>
      </w:tblPr>
      <w:tblGrid>
        <w:gridCol w:w="1863"/>
        <w:gridCol w:w="1503"/>
        <w:gridCol w:w="1510"/>
        <w:gridCol w:w="223"/>
        <w:gridCol w:w="762"/>
        <w:gridCol w:w="114"/>
        <w:gridCol w:w="114"/>
        <w:gridCol w:w="114"/>
        <w:gridCol w:w="114"/>
        <w:gridCol w:w="223"/>
        <w:gridCol w:w="762"/>
        <w:gridCol w:w="114"/>
        <w:gridCol w:w="109"/>
        <w:gridCol w:w="109"/>
        <w:gridCol w:w="109"/>
        <w:gridCol w:w="211"/>
        <w:gridCol w:w="721"/>
        <w:gridCol w:w="109"/>
        <w:gridCol w:w="109"/>
        <w:gridCol w:w="109"/>
        <w:gridCol w:w="109"/>
        <w:gridCol w:w="211"/>
        <w:gridCol w:w="721"/>
        <w:gridCol w:w="162"/>
      </w:tblGrid>
      <w:tr>
        <w:trPr/>
        <w:tc>
          <w:tcPr>
            <w:tcW w:w="186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net income per common share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options and unvested RSUs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per common share</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excluded from the computation of diluted net income per share, on a weighted-average basis, 3.0 million and 4.8 million stock options and RSUs outstanding during the three and six months ended June 30, 2026, respectively, and 2.7 million and 2.0 million stock options outstanding during the three and six months ended June 30, 2025, respectively, because including them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recorded an income tax expense of $2.9 million and a tax benefit of $10.0 million for the three and six months ended June 30, 2026, respectively, as compared to an income tax benefit of $3.5 million and $14.4 million for the comparable periods in 2025. The increase in income tax expense during the three months ended June 30, 2026 and decrease in income tax benefit during the six months ended June 30, 2026 were primarily due to a decrease in stock compensation deductions in 2026 as compared to the comparable periods in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federal statutory rate due to state income taxes and the non-deductible portion of our stock-based compensation, which increased our tax expense, offset by research and development credits and the excess tax deduction arising from the exercise of employee stock options, which reduced our taxable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unrecognized tax benefits decreased by $0.7 million and increased by less than $0.1 million, respectively.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quarter, we assess the likelihood that we will generate sufficient taxable income to use our federal and state deferred tax assets. Except for the valuation allowances that offset the value of our California net deferred tax assets, we have determined that it is more likely than not we will realize the benefit related to all other deferred tax assets. To the extent we increase a valuation allowance, we will include an expense in the Condensed Consolidated Statement of Income in the period in which such determination is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9. Revenue</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total product revenue, net by product:</w:t>
      </w:r>
    </w:p>
    <w:tbl>
      <w:tblPr>
        <w:tblW w:w="7878" w:type="dxa"/>
        <w:jc w:val="left"/>
        <w:tblInd w:w="0" w:type="dxa"/>
        <w:tblLayout w:type="fixed"/>
        <w:tblCellMar>
          <w:top w:w="28" w:type="dxa"/>
          <w:left w:w="28" w:type="dxa"/>
          <w:bottom w:w="28" w:type="dxa"/>
          <w:right w:w="28" w:type="dxa"/>
        </w:tblCellMar>
      </w:tblPr>
      <w:tblGrid>
        <w:gridCol w:w="820"/>
        <w:gridCol w:w="721"/>
        <w:gridCol w:w="723"/>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Hypercortisolism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Lifyorli</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(“MD&amp;A”) is intended to help the reader understand our results of operations and financial condition and is provided as a supplement to, and should be read in conjunction with our condensed consolidated financial statements and the accompanying notes to financial statements, risk factors and other disclosures included in this Form 10-Q. Our condensed consolidated financial statements have been prepared in accordance with U.S. Generally Accepted Accounting Principles (“U.S. GAAP”).</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We make statements in this section that are “forward-looking” within the meaning of the federal securities laws. For a complete discussion of such statements and the potential risks and uncertainties that may affect their accuracy, see the “Risk Factors,” “Overview” and “Liquidity and Capital Resources” sections of this Form 10-Q.</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commercial-stage company engaged in the discovery and development of medications to treat severe endocrinologic, oncologic, metabolic and neurologic disorders by modulating the effects of the hormone cortisol. We have been selling and distributing Korlym in the United States for the treatment of patients suffering from hypercortisolism (also known as “Cushing’s syndrome”) since 2012. In June 2024, we made an authorized generic version of Korlym available. In March 2026, the FDA approved Lifyorli™ (relacorilant) in combination with the chemotherapy medication nab-paclitaxel as a treatment for patients with platinum-resistant epithelial ovarian, fallopian tube, or primary peritoneal cancer who have received one to three prior systemic treatment regimens, at least one of which included bevacizumab. In April 2026, we began selling and distributing Lifyorli in the United States. Our portfolio of proprietary selective cortisol modulators consists of five structurally distinct series totaling more than 1,000 compounds.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Hypercortisolism (Cushing’s syndrome)</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Our Hypercortisolism Products.</w:t>
      </w:r>
      <w:r>
        <w:rPr>
          <w:color w:val="000000"/>
        </w:rPr>
        <w:t xml:space="preserve"> </w:t>
      </w:r>
      <w:r>
        <w:rPr>
          <w:rFonts w:ascii="Times New Roman;serif" w:hAnsi="Times New Roman;serif"/>
          <w:b w:val="false"/>
          <w:color w:val="000000"/>
          <w:sz w:val="20"/>
        </w:rPr>
        <w:t>We sell Korlym and our authorized generic version of Korlym in the United States (our “Hypercortisolism Products”) using sales representatives to call on physicians caring for patients with hypercortisolism. We also have a field-based force of medical science liaisons. We use an exclusive specialty pharmacy vendor, Curant Health Georgia, LLC (“Curant”) to distribute our Hypercortisolism Products directly to patients and provide patients and physicians with logistical and pharmacy support. From 2017 to 2025, our specialty pharmacy was Optime Care, Inc. We use a specialty distributor to distribute our Hypercortisolism Products to hospital pharmacies and other purchasers.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policy is that no patient with hypercortisolism will be denied access to our medications for financial reasons. To help us achieve that goal, we have patient support programs and donate money to independent charitable foundations that help patients pay for all aspects of their hypercortisolism care, whether or not that care includes taking our Hypercortisolism Products.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most people who suffer from hypercortisolism are undiagnosed or inadequately treated, we have developed and continue to refine and expand programs to educate physicians and patients about screening for hypercortisolism and the role our Hypercortisolism Products can play in treating patients with the disorder. We also conduct clinical research: In 2023, we initiated our CATALYST study to determine the prevalence of hypercortisolism in patients with difficult-to-control type 2 diabetes, defined as hemoglobin A1c (“HbA1c” – a measure of glucose control that rises in people with diabetes) of 7.5 percent or higher, despite receiving optimum treatment. Of the 1,057 patients enrolled in the first phase of CATALYST, 23.8 percent were found to have hypercortisolism. These patients were offered the chance to enter CATALYST’s second phase, in which 136 eligible patients were randomized 2:1 to receive either Korlym or placebo for 24 weeks. The primary endpoint of CATALYST’s second phase was a reduction in HbA1c in patients who received Korlym compared to patients who received placebo. CATALYST met this primary endpoint. Patients who received Korlym exhibited a clinically meaningful and statistically significant decrease in HbA1c of 1.47 percent, compared to a decrease of 0.15 percent in patients who received placebo (p-value: &lt;0.0001). This phase of the trial also met its secondary endpoints. Patients who received Korlym exhibited significantly greater reductions in body weight (5.1 kg; p-value: 0.001) and waist circumference (5.1 cm; p-value: 0.002) than patients who received placebo. The safety profile of Korlym in CATALYST was manageable and consistent with the medication’s label: No new side effects or adverse events were identified. </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CATALYST’s results were published in </w:t>
      </w:r>
      <w:r>
        <w:rPr>
          <w:rFonts w:ascii="Times New Roman;serif" w:hAnsi="Times New Roman;serif"/>
          <w:b w:val="false"/>
          <w:i/>
          <w:color w:val="000000"/>
          <w:sz w:val="20"/>
        </w:rPr>
        <w:t>Diabetes Care</w:t>
      </w:r>
      <w:r>
        <w:rPr>
          <w:color w:val="000000"/>
        </w:rPr>
        <w:t xml:space="preserve"> </w:t>
      </w:r>
      <w:r>
        <w:rPr>
          <w:rFonts w:ascii="Times New Roman;serif" w:hAnsi="Times New Roman;serif"/>
          <w:b w:val="false"/>
          <w:color w:val="000000"/>
          <w:sz w:val="20"/>
        </w:rPr>
        <w:t>(Buse et al., April 2025 (first phase) and DeFronzo et al., June 2025 (second phase)), the peer-reviewed journal of the American Diabetes Association.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prevalence of hypercortisolism in patients with resistant hypertension, we conducted the MOMENTUM trial in 2025. Resistant hypertension is defined by the American Heart Association as systolic blood pressure greater than 130 mm Hg and diastolic blood pressure greater than 80 mm Hg, despite the use of three or more antihypertensive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medications of different classes, including a diuretic. Of the 1,086 patients enrolled in MOMENTUM, 27.3 percent were found to have hypercortisolism. MOMENTUM’s results were presented at the American College of Cardiology Annual Scientific Session in March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results of CATALYST and MOMENTUM will help physicians better identify patients with hypercortisolism and determine their optimal treatment.</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Relacorilant.</w:t>
      </w:r>
      <w:r>
        <w:rPr>
          <w:color w:val="000000"/>
        </w:rPr>
        <w:t xml:space="preserve"> </w:t>
      </w:r>
      <w:r>
        <w:rPr>
          <w:rFonts w:ascii="Times New Roman;serif" w:hAnsi="Times New Roman;serif"/>
          <w:b w:val="false"/>
          <w:color w:val="000000"/>
          <w:sz w:val="20"/>
        </w:rPr>
        <w:t>We are developing our proprietary, selective cortisol modulator, relacorilant, as a treatment for patients with hypercortisolism. Relacorilant shares Korlym’s affinity for the glucocorticoid receptor (“GR”) but, unlike Korlym, has no affinity for the progesterone receptor (“PR”) and so is not the “abortion pill” and does not cause other effects associated with PR affinity, including endometrial thickening and vaginal bleeding. Because relacorilant does not meaningfully increase cortisol levels, it does not cause hypokalemia (low potassium), a potentially serious condition that is a leading cause of patients stopping treatment with Korlym. Forty-four percent of patients in Korlym’s pivotal trial experienced hypokalemia. Unlike all other medications used to treat hypercortisolism, relacorilant does not prolong the heart’s QT interval, a potentially deadly off-target effect.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2024, we submitted a New Drug Application (“NDA”) to the United States Food and Drug Administration (“FDA”) seeking approval to market relacorilant as a treatment for patients with endogenous hypercortisolism. The NDA was based on positive results from our pivotal GRACE trial, with confirmatory evidence from our Phase 3 GRADIENT trial, our Phase 3 long-term extension study and our Phase 2 study. Patients in all these trials exhibited clinically meaningful improvements in a wide range of hypercortisolism signs and symptoms, including hypertension, glucose control, weight and body composition. Relacorilant has been well-tolerated in all of its clinical trials. Notably, patients did not experience some of the serious adverse events that can arise in patients taking Korlym or other currently approved treatments.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30, 2025, the FDA issued a Complete Response Letter (“CRL”) declining to approve relacorilant. While the letter acknowledged that our pivotal GRACE trial had met its primary endpoint and that our GRADIENT trial had provided confirmatory evidence, the FDA stated that additional evidence of efficacy would be required for approval. In April 2026, the FDA asked us to conduct additional analyses of the data included in our NDA. Based on the outcome of those analyses, we resubmitted our NDA to the FDA on June 17, 2026. The FDA has assigned a Prescription Drug User Fee Act target date of December 17, 2026 to complete its review.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GRACE trial had two parts. The first, open-label phase enrolled 152 patients with any etiology of hypercortisolism. Each patient received relacorilant for 22 weeks. Patients who exhibited pre-specified improvements in either hypertension, hyperglycemia or both symptoms were eligible to proceed to GRACE’s second, double-blind, randomized withdrawal phase, in which half of the patients continued to receive relacorilant and half received placebo for 12 weeks. GRACE’s primary endpoint was the number of patients in the relacorilant group who lost blood pressure control compared to the number of patients in the placebo group who lost blood pressure control.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open-label phase, patients experienced clinically meaningful and statistically significant improvements in a wide array of hypercortisolism signs and symptoms, including hypertension, hyperglycemia, weight, waist circumference, fat and lean body mass, cognition and Cushing’s Quality of Life score. Rapid and sustained improvements in systolic blood pressure (“SBP”) and diastolic blood pressure (“DBP”) were observed in all patients with hypertension, measured by 24-hour ambulatory blood pressure monitoring (“ABPM”), with an improvement in mean SBP of 7.9 mm Hg and mean DBP of 5.4 mm Hg at 22 weeks (p-values: &lt;0.0001). Sixty-three percent of patients with hypertension met the study’s open label response criteria. Hypertension improvements were even greater in patients with hypertension who entered the study’s randomized withdrawal phase, with reductions in SBP of 12.6 mm Hg and DBP of 8.3 mm Hg (p-values: &lt;0.0001).</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Glucose control in GRACE was measured by several diagnostic tests, including the oral glucose tolerance test (glucose area under the curve or AUCglucose), HbA1c and fasting glucose. In the open-label phase, clinically meaningful and statistically significant improvements in glucose metabolism were observed in patients with diabetes or impaired glucose tolerance (i.e., pre-diabetes), with reductions in AUCglucose of 3.3 h*mmol/L, HbA1c of 0.3 percent and fasting glucose of 12.4 mg/dL at 22 weeks (p-values: &lt;0.0001, 0.03, 0.03, respectively). During the open-label phase, 50 percent of patients with hyperglycemia met the study’s response criteria. Patients with hyperglycemia who entered the randomized withdrawal phase exhibited more pronounced improvements, with reductions in AUCglucose of 6.2 h*mmol/L, HbA1c of 0.7 percent and fasting glucose of 25.2 mg/dL at 22 weeks (p-values: &lt;0.0001, &lt;0.0001, 0.006, respectively).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GRACE met its primary endpoint. Patients with hypertension who were switched to placebo in the randomized withdrawal phase were significantly more likely to lose blood pressure control than were patients who continued to receive relacorilant (odds ratio: 0.17; p-value: 0.02). Patients who continued to receive relacorilant also maintained their improvements in hyperglycemia, waist circumference, fat and lean tissue mass, while patients who received placebo experienced a significant worsening of hypercortisolism signs and symptoms.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Phase 3 GRADIENT study enrolled patients with hypercortisolism caused by adrenal adenomas or adrenal hyperplasia. These patients have a more gradual decline than patients with other etiologies of hypercortisolism, although their health outcomes are ultimately poor. GRADIENT enrolled 137 patients with hypercortisolism and either hypertension, hyperglycemia or both. Patients were randomized on a double-blind basis 1:1 to receive either relacorilant or placebo for 22 weeks. The trial’s primary endpoint was improvement compared to placebo in systolic blood pressure with glycemic control, weight and body composition as secondary endpoints.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Patients in GRADIENT who received relacorilant exhibited clinically meaningful improvements in a wide array of hypercortisolism signs and symptoms, including hypertension, hyperglycemia, weight and body composition, while patients who received placebo did not.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GRADIENT patients with hypertension who received relacorilant experienced a reduction in SBP of 6.6 mm Hg (p-value: 0.012) compared to baseline. The reduction in patients who received placebo was 2.1 mm Hg (p-value: ns) compared to baseline. The comparison between those who received relacorilant and placebo was not statistically significant. During the study, five patients who received placebo required rescue therapy with anti-hypertension medications, compared to one patient who received relacorilant. To ensure accuracy, hypertension was measured by 24-hour ABPM.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GRADIENT patients with hyperglycemia who received relacorilant experienced clinically meaningful and statistically significant improvements in glucose metabolism, including fasting glucose (placebo-adjusted reduction of 22.2 mg/dL; p-value: 0.002), area under the curve of the oral glucose tolerance test (placebo-adjusted reduction of 2.6 h*mmol/L; p-value: 0.046) and HbA1c (placebo-adjusted reduction of 0.3 percent; p-value: 0.019), compared to those who received placebo. These patients also experienced clinically meaningful and statistically significant improvements in body weight (placebo-adjusted reduction of 3.9 kg; p-value: 0.0001) and visceral adipose fat mass and volume (p-values: 0.018 and 0.016, respectively), compared to patients who received placebo.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Relacorilant was well-tolerated in GRADIENT, with side effects consistent with its other clinical trials. The most common adverse events were mild-to-moderate nausea, edema, pain in the extremities and back, and fatigue – all symptoms associated with the “cortisol withdrawal” many patients experience when cortisol activity reverts to a more normal level, following surgery or the start of medical therapy for hypercortisolism. Importantly, there were no relacorilant-induced instances of hypokalemia, endometrial hypertrophy or drug-induced vaginal bleeding, adrenal insufficiency or QT prolongation.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Patients who completed our GRACE, GRADIENT and Phase 2 trials were eligible to enter our open-label, long-term extension study. Of the 116 patients who chose to do so, the duration of the treatment has been up to seven years. In December 2024, we announced that patients who remained in the study for 24 months exhibited, at that time, further clinically meaningful and statistically significant reductions in systolic (10.0 mm Hg; p-value: 0.012) and diastolic blood pressure (7.3 mm Hg; p-value: 0.016), compared to their blood pressure at entry into the long-term extension study. These patients had also maintained response in other cardiometabolic measures, such as glycemic control and body weight. Consistent with its known safety profile, relacorilant was well-tolerated.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and the European Commission (“EC”) have designated relacorilant as an orphan drug for the treatment of hypercortisolism. In the United States, relacorilant’s orphan designation confers tax credits, reduced regulatory fees and, provided we obtain approval for the treatment of patients with hypercortisolism, seven years of exclusive marketing rights. Benefits of orphan drug designation by the EC are similar but include protocol assistance from the European Medicines Agency (“EMA”), access to the centralized marketing authorization procedure in the European Union (“EU”) and, if we obtain approval, ten years of exclusive marketing rights in the EU for the treatment of patients with hypercortisolism.</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Oncology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Cortisol activity at the GR reduces the efficacy of certain anti-cancer therapies and there is substantial evidence that antagonizing cortisol at a solid tumor’s glucocorticoid receptors may help those therapies achieve their intended effect. In some cancers, cortisol retards cellular apoptosis – the tumor-killing effect many treatments are meant to stimulate. In other cancers, cortisol activity promotes tumor growth. Cortisol also suppresses the body’s immune response; activating – not suppressing – the immune system is beneficial in fighting certain cancers. Many types of solid tumors express the GR and are potential targets for cortisol modulation therapy, among them ovarian, endometrial, cervical, pancreatic and prostate cancers.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Relacorilant in Combination with Chemotherapy.</w:t>
      </w:r>
      <w:r>
        <w:rPr>
          <w:color w:val="000000"/>
        </w:rPr>
        <w:t xml:space="preserve"> </w:t>
      </w:r>
      <w:r>
        <w:rPr>
          <w:rFonts w:ascii="Times New Roman;serif" w:hAnsi="Times New Roman;serif"/>
          <w:b w:val="false"/>
          <w:color w:val="000000"/>
          <w:sz w:val="20"/>
        </w:rPr>
        <w:t xml:space="preserve">In March 2026, the FDA approved Lifyorli (relacorilant) in combination with the chemotherapy medication nab-paclitaxel to treat patients with platinum-resistant ovarian cancer who have received one to three prior systemic treatment regimens, at least one of which included bevacizumab. We sell Lifyorli using sales representatives to call on physicians caring for patients with platinum-resistant ovarian cancer. We also have a field-based force of medical science liaisons. We use specialty pharmacies to dispense Lifyorli directly to patients and provide logistical support to physicians and patients. We also sell Lifyorli to specialty distributors who, in turn, sell Lifyorli to community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oncology practices, group purchasing organizations and hospitals. Lifyorli was added to National Comprehensive Cancer Network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Clinical Practice Guidelines in Oncology (NCCN Guidelines</w:t>
      </w:r>
      <w:r>
        <w:rPr>
          <w:rFonts w:ascii="Times New Roman;serif" w:hAnsi="Times New Roman;serif"/>
          <w:b w:val="false"/>
          <w:color w:val="000000"/>
          <w:sz w:val="13"/>
        </w:rPr>
        <w:t>®</w:t>
      </w:r>
      <w:r>
        <w:rPr>
          <w:rFonts w:ascii="Times New Roman;serif" w:hAnsi="Times New Roman;serif"/>
          <w:b w:val="false"/>
          <w:color w:val="000000"/>
          <w:sz w:val="20"/>
        </w:rPr>
        <w:t>) as a preferred regimen in April 2026. We offer a patient assistance program to provide support to patients to help them overcome financial barriers or coverage denials.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2025, we submitted a marketing authorization application (“MAA”) to the EMA seeking approval in the EU, with an EMA decision expected in the fourth quarter of 2026. The EC has designated relacorilant as an orphan drug for the treatment of patients with ovarian cancer.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Lifyorli’s FDA approval was based primarily on positive data from our pivotal Phase 3 ROSELLA trial, with our positive Phase 2 trial providing confirmatory evidence. In both trials, patients exhibited clinically meaningful improvements in both progression-free survival (“PFS”) and overall survival (“OS”).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ROSELLA enrolled 381 women with recurrent, platinum-resistant ovarian cancer who were randomized 1:1 to receive either 150 mg of relacorilant intermittently in addition to the chemotherapeutic agent nab-paclitaxel or nab-paclitaxel monotherapy. Patients enrolled in ROSELLA received prior bevacizumab therapy, which is the approved standard of care for patients with platinum-resistant ovarian cancer. Women who have received more than three prior lines of therapy were excluded.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ROSELLA met its dual primary endpoints – PFS as assessed by blinded independent central review and OS. In March 2025, we announced that ROSELLA had met its PFS endpoint. Patients treated with relacorilant in addition to nab-paclitaxel experienced a clinically and statistically significant 30 percent reduction in risk of disease progression compared to patients treated with nab-paclitaxel alone (hazard ratio: 0.70; p-value: 0.008). In January 2026, we announced that ROSELLA had met its OS primary endpoint. Patients treated with relacorilant in addition to nab-paclitaxel chemotherapy experienced a clinically and statistically significant 35 percent reduction in the risk of death compared to patients treated with nab-paclitaxel alone (hazard ratio: 0.65; p-value: 0.0004). The median OS for patients receiving relacorilant was 16.0 months, compared to 11.9 months for patients receiving nab-paclitaxel alone. Importantly, both PFS and OS benefits were seen in all clinically relevant patient subgroups, including those with poor prognoses.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primary analysis from ROSELLA was published in </w:t>
      </w:r>
      <w:r>
        <w:rPr>
          <w:rFonts w:ascii="Times New Roman;serif" w:hAnsi="Times New Roman;serif"/>
          <w:b w:val="false"/>
          <w:i/>
          <w:color w:val="000000"/>
          <w:sz w:val="20"/>
        </w:rPr>
        <w:t>The Lancet</w:t>
      </w:r>
      <w:r>
        <w:rPr>
          <w:color w:val="000000"/>
        </w:rPr>
        <w:t xml:space="preserve"> </w:t>
      </w:r>
      <w:r>
        <w:rPr>
          <w:rFonts w:ascii="Times New Roman;serif" w:hAnsi="Times New Roman;serif"/>
          <w:b w:val="false"/>
          <w:color w:val="000000"/>
          <w:sz w:val="20"/>
        </w:rPr>
        <w:t xml:space="preserve">(Olawaiye et al., June 2025). ROSELLA’s final results were published in </w:t>
      </w:r>
      <w:r>
        <w:rPr>
          <w:rFonts w:ascii="Times New Roman;serif" w:hAnsi="Times New Roman;serif"/>
          <w:b w:val="false"/>
          <w:i/>
          <w:color w:val="000000"/>
          <w:sz w:val="20"/>
        </w:rPr>
        <w:t>The Lancet</w:t>
      </w:r>
      <w:r>
        <w:rPr>
          <w:color w:val="000000"/>
        </w:rPr>
        <w:t xml:space="preserve"> </w:t>
      </w:r>
      <w:r>
        <w:rPr>
          <w:rFonts w:ascii="Times New Roman;serif" w:hAnsi="Times New Roman;serif"/>
          <w:b w:val="false"/>
          <w:color w:val="000000"/>
          <w:sz w:val="20"/>
        </w:rPr>
        <w:t>(Lorusso et al., April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initiated trials to evaluate the potential for relacorilant to treat patients with other types of solid tumors and in combination with other anti-cancer agents.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April 2025, we initiated BELLA, an open-label Phase 2 trial with three parts. In each part, the primary endpoint is PFS, with OS being a key secondary endpoint. BELLA Part A is evaluating the efficacy and safety of relacorilant combined with nab-paclitaxel and bevacizumab to treat patients with platinum-resistant ovarian cancer. Enrollment of 95 patients in Part A was completed in December 2025. BELLA Part B is evaluating the efficacy and safety of relacorilant plus nab-paclitaxel and bevacizumab to treat women with platinum-sensitive ovarian cancer whose disease had progressed while receiving treatment with a PARP-inhibitor. BELLA Part C is evaluating the efficacy and safety of relacorilant plus nab-paclitaxel to treat patients with endometrial cancer who have received one or two prior lines of therapy. Planned enrollment of 90 patients in each of Parts B and C is underway. BELLA is being conducted at sites in the United States, Europe and Asia.</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we initiated an open-label Phase 2 trial, TRIDENT, to evaluate the efficacy and safety of relacorilant combined with nab-paclitaxel and gemcitabine in patients with pancreatic cancer who have not received prior therapy for metastatic disease. The trial’s primary endpoint is PFS, with OS being a key secondary endpoint. TRIDENT’s planned enrollment is 60 patients at sites in the United States, Europe and Asia. The EC has designated relacorilant as an orphan drug for the treatment of patients with pancreatic cancer.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collaborating with the Paris-based academic research cooperative ARCAGY-GINECO to conduct a Phase 2 trial, STELLA, evaluating the efficacy and safety of relacorilant plus nab-paclitaxel in 50 patients with cervical cancer who have already received one or two prior lines of therapy.</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Nenocorilant in Combination with Immunotherapy.</w:t>
      </w:r>
      <w:r>
        <w:rPr>
          <w:color w:val="000000"/>
        </w:rPr>
        <w:t xml:space="preserve"> </w:t>
      </w:r>
      <w:r>
        <w:rPr>
          <w:rFonts w:ascii="Times New Roman;serif" w:hAnsi="Times New Roman;serif"/>
          <w:b w:val="false"/>
          <w:color w:val="000000"/>
          <w:sz w:val="20"/>
        </w:rPr>
        <w:t xml:space="preserve">Immunotherapy harnesses the body’s immune system to identify and destroy cancer cells. We are testing the ability of our proprietary selective cortisol modulator, nenocorilant, to increase the potency of immunotherapy by reducing cortisol-activated immune suppression. In December 2025, we initiated a Phase 1b trial, SYNERGY. SYNERGY is studying nenocorilant plus nivolumab (a PD-1 checkpoint inhibitor) in patients with solid tumors. </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Relacorilant in Combination with Androgen Deprivation Therapy.</w:t>
      </w:r>
      <w:r>
        <w:rPr>
          <w:color w:val="000000"/>
        </w:rPr>
        <w:t xml:space="preserve"> </w:t>
      </w:r>
      <w:r>
        <w:rPr>
          <w:rFonts w:ascii="Times New Roman;serif" w:hAnsi="Times New Roman;serif"/>
          <w:b w:val="false"/>
          <w:color w:val="000000"/>
          <w:sz w:val="20"/>
        </w:rPr>
        <w:t xml:space="preserve">Androgen deprivation is the standard treatment for prostate cancer because androgens stimulate prostate tumor growth. One reason prostate cancer tumors eventually escape androgen deprivation therapy is they evolve to grow in response to cortisol activity. Combining a cortisol modulator with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androgen modulator may block this escape route. Our collaborators at the University of Chicago have initiated a randomized, placebo-controlled Phase 2 trial of relacorilant plus enzalutamide in patients with prostate cancer, pre-prostatectomy. Patents we have licensed from the University of Chicago cover the use of relacorilant combined with anticancer agents, including enzalutamide, to treat patients with this disease.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Metabolic Diseases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Liver Disease.</w:t>
      </w:r>
      <w:r>
        <w:rPr>
          <w:color w:val="000000"/>
        </w:rPr>
        <w:t xml:space="preserve"> </w:t>
      </w:r>
      <w:r>
        <w:rPr>
          <w:rFonts w:ascii="Times New Roman;serif" w:hAnsi="Times New Roman;serif"/>
          <w:b w:val="false"/>
          <w:color w:val="000000"/>
          <w:sz w:val="20"/>
        </w:rPr>
        <w:t>Metabolic dysfunction-associated steatohepatitis (“MASH”) is an advanced form of metabolic dysfunction-associated fatty liver disease that afflicts millions of patients and is a leading cause of liver-related mortality. Our Phase 1b trial of the selective cortisol modulator miricorilant as a potential treatment for MASH identified a dosing regimen that was well-tolerated and reduced liver fat, improved liver health and key metabolic and lipid measures. In October 2023, we initiated a randomized, double-blind, placebo-controlled, Phase 2b trial, MONARCH, of miricorilant in patients with MASH. MONARCH has two patient cohorts: Cohort A enrolled 82 patients with biopsy-confirmed MASH, randomized 2:1 to receive either 100 mg of miricorilant twice weekly or placebo for 48 weeks. The primary endpoint for Cohort A is reduction in liver fat; MASH resolution and fibrosis improvement are key secondary endpoints. Cohort B enrolled 93 patients with presumed MASH, randomized 2:1 to receive either (i) 100 mg of miricorilant twice weekly for 6 weeks, then 200 mg of miricorilant twice weekly for 18 weeks or (ii) placebo for 24 weeks. The primary endpoint of Cohort B is reduction in liver fat. Enrollment in both cohorts is complete.</w:t>
      </w:r>
    </w:p>
    <w:p>
      <w:pPr>
        <w:pStyle w:val="TextBody"/>
        <w:bidi w:val="0"/>
        <w:spacing w:lineRule="auto" w:line="288" w:before="180" w:after="283"/>
        <w:jc w:val="both"/>
        <w:rPr/>
      </w:pPr>
      <w:r>
        <w:rPr>
          <w:rFonts w:ascii="Times New Roman;serif" w:hAnsi="Times New Roman;serif"/>
          <w:b w:val="false"/>
          <w:i/>
          <w:color w:val="000000"/>
          <w:sz w:val="20"/>
        </w:rPr>
        <w:t>Amyotrophic Lateral Sclerosis (“ALS”</w:t>
      </w:r>
      <w:r>
        <w:rPr>
          <w:rFonts w:ascii="Times New Roman;serif" w:hAnsi="Times New Roman;serif"/>
          <w:b w:val="false"/>
          <w:color w:val="000000"/>
          <w:sz w:val="20"/>
        </w:rPr>
        <w: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ALS, also known as Lou Gehrig’s disease, is a devastating neuromuscular illness. Our selective cortisol modulator dazucorilant improved motor performance and reduced neuroinflammation and muscular atrophy in an animal model of ALS. Following these compelling results, we initiated a Phase 2 trial, DAZALS, of dazucorilant in patients with ALS. Two hundred forty-nine patients were randomized on a double-blind basis 1:1:1 to receive either 150 mg of dazucorilant, 300 mg of dazucorilant or placebo daily for 24 weeks. Upon completion of the trial, patients were eligible to enter the open-label, long-term extension phase of the study, in which they receive 300 mg of dazucorilant for up to 132 weeks.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DAZALS did not meet its primary endpoint – change from baseline in the ALS Functional Rating Scale-Revised (ALSFRS-R) in patients who received dazucorilant compared to those who received placebo – a reduction in early death was observed at the end of the 24-week double-blind treatment period (p-value: 0.02). An exploratory analysis at 52 weeks found that this benefit continued: Patients who received 300 mg of dazucorilant from treatment start had an 84 percent lower risk of death than did patients who received only placebo, with a hazard ratio of 0.16 (p-value: 0.0009). This benefit persisted into the study’s second year. Measured at 104 weeks, the risk of death in patients who received 300 mg of dazucorilant from the start of the study was reduced by 87 percent compared to patients who received only placebo with a hazard ratio of 0.13 (p-value: &lt;0.0001). A similar survival benefit was observed at 52 weeks in patients who received 300 mg of dazucorilant for greater than 24 weeks, either in the treatment period or in the extension phase, compared to patients who received either placebo or 150 mg of dazucorilant for 24 weeks and did not receive dazucorilant in the extension phase with a hazard ratio of 0.36 (p-value: 0.02). This benefit persisted into the study’s second year with a hazard ratio of 0.39 (p-value: 0.02).</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Dazucorilant has demonstrated a manageable safety profile, with 92 percent of adverse events being mild to moderate in severity. The frequency of severe and serious adverse events in patients who received dazucorilant was similar to those who received placebo. Mild-to-moderate, dose-related, transient abdominal pain was the most common adverse effect. The open-label, long-term extension phase of DAZALS, which enrolled 118 patients, is continuing. We are conducting a study in patients with ALS to determine whether dose titration will reduce instances of abdominal pain and allow more patients to benefit from dazucorilant.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has granted dazucorilant Fast Track Designation and orphan drug status for the treatment of ALS in the United States.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Development of Other Selective Cortisol Modulators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clinical studies described above, we continue to create and test new selective cortisol modulators and advance the most promising of them towards the clinic.</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(“IRA”) of 2022</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IRA was enacted on August 16, 2022. The IRA includes provisions requiring manufacturers to pay a rebate to the Centers for Medicare and Medicaid Services (“CMS”) if the price of a Medicare Part B or Part D drug increases faster than the rate of inflation. In addition, the IRA shifts a portion of the Medicare beneficiary costs formerly borne by the government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beneficiaries to manufacturers in the form of limitations on price increases and rebates paid to the government. We anticipate this provision will limit the revenue we receive from Medicare patients and may materially reduce our profits in 2026 and beyond. The IRA permits CMS to negotiate prices for certain high-expenditure Medicare Part B or Part D drugs.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IRA imposes a one percent excise tax on certain share repurchases and a 15 percent corporate alternative minimum tax on adjusted financial statement income. The corporate alternative minimum tax became effective for us on January 1, 2024. We do not expect either of these provisions to significantly affect our condensed consolidated financial statements.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Please see the risk factor under Item 1A of this Quarterly Report on Form 10-Q,</w:t>
      </w:r>
      <w:r>
        <w:rPr>
          <w:color w:val="000000"/>
        </w:rPr>
        <w:t xml:space="preserve"> “</w:t>
      </w:r>
      <w:r>
        <w:rPr>
          <w:rFonts w:ascii="Times New Roman;serif" w:hAnsi="Times New Roman;serif"/>
          <w:b w:val="false"/>
          <w:i/>
          <w:color w:val="000000"/>
          <w:sz w:val="20"/>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Product Revenue, Net</w:t>
      </w:r>
      <w:r>
        <w:rPr>
          <w:color w:val="000000"/>
        </w:rPr>
        <w:t xml:space="preserve"> – </w:t>
      </w:r>
      <w:r>
        <w:rPr>
          <w:rFonts w:ascii="Times New Roman;serif" w:hAnsi="Times New Roman;serif"/>
          <w:b w:val="false"/>
          <w:color w:val="000000"/>
          <w:sz w:val="20"/>
        </w:rPr>
        <w:t>Product Revenue, Net, or Net product revenue, is gross product revenue from sales to our customers less deductions for estimated government rebates and chargebacks, patient assistance programs, discounts provided to our specialty pharmacies and distributors for prompt payment and reserves for expected returns.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product revenue was $256.1 million and $421.1 million for the three and six months ended June 30, 2026, respectively, compared to $194.4 million and $351.6 million for the comparable periods in 2025. The increases were driven by higher net product revenue from our Hypercortisolism Products and net product revenue from Lifyorli. Lifyorli’s commercial launch was on April 1,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product revenue from our Hypercortisolism Products was $208.6 million and $373.5 million for the three and six months ended June 30, 2026, respectively, compared to $194.4 million and $351.6 million for the comparable periods in 2025. Higher sales volume accounted for 76.1 percent of the increase for the three months ended June 30, 2026, with the remaining growth due to a price increase for our Hypercortisolism Products taken in August 2025 and improved payor reimbursement rates for our Hypercortisolism Products at our current specialty pharmacy, partially offset by higher sales volume of our authorized generic version of Korlym, which has a lower price. The increase in net product revenue for the six months ended June 30, 2026 was driven by higher sales volume, partially offset by a 2.1 percent decrease in average price. The decrease in average price was due to higher sales volume of our authorized generic version of Korlym, partially offset by a price increase for our Hypercortisolism Products taken in August 2025 and improved payor reimbursement rates for our Hypercortisolism Products at our current specialty pharmacy.</w:t>
      </w:r>
    </w:p>
    <w:tbl>
      <w:tblPr>
        <w:tblW w:w="7878" w:type="dxa"/>
        <w:jc w:val="left"/>
        <w:tblInd w:w="0" w:type="dxa"/>
        <w:tblLayout w:type="fixed"/>
        <w:tblCellMar>
          <w:top w:w="28" w:type="dxa"/>
          <w:left w:w="28" w:type="dxa"/>
          <w:bottom w:w="28" w:type="dxa"/>
          <w:right w:w="28" w:type="dxa"/>
        </w:tblCellMar>
      </w:tblPr>
      <w:tblGrid>
        <w:gridCol w:w="820"/>
        <w:gridCol w:w="721"/>
        <w:gridCol w:w="723"/>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Hypercortisolism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Lifyorli</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Cost of sales </w:t>
      </w:r>
      <w:r>
        <w:rPr>
          <w:color w:val="000000"/>
        </w:rPr>
        <w:t xml:space="preserve">– </w:t>
      </w:r>
      <w:r>
        <w:rPr>
          <w:rFonts w:ascii="Times New Roman;serif" w:hAnsi="Times New Roman;serif"/>
          <w:b w:val="false"/>
          <w:color w:val="000000"/>
          <w:sz w:val="20"/>
        </w:rPr>
        <w:t>Cost of sales includes the cost of the active pharmaceutical ingredient (“API”), tableting, packaging, personnel, overhead, stability testing and distribution.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sales was $4.1 million and $6.9 million for the three and six months ended June 30, 2026, respectively, compared to $3.4 million and $5.8 million for the comparable periods in 2025. Cost of sales as a percentage of revenue was 1.6 percent for each of the three and six months ended June 30, 2026, compared to 1.8 percent and 1.7 percent for the comparable periods in 2025, respectively. The decreases in cost of sales as a percentage of revenue were primarily due to lower manufacturing costs for our Hypercortisolism Products. All drug product included in the cost of sales for Lifyorli for the three and six months ended June 30, 2026 was manufactured and its cost recorded as research and development expense prior to regulatory approval.</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Research and development expense</w:t>
      </w:r>
      <w:r>
        <w:rPr>
          <w:color w:val="000000"/>
        </w:rPr>
        <w:t xml:space="preserve"> – </w:t>
      </w:r>
      <w:r>
        <w:rPr>
          <w:rFonts w:ascii="Times New Roman;serif" w:hAnsi="Times New Roman;serif"/>
          <w:b w:val="false"/>
          <w:color w:val="000000"/>
          <w:sz w:val="20"/>
        </w:rPr>
        <w:t>Research and development expense includes the cost of (1) recruiting and compensating development personnel, (2) clinical trials, (3) manufacturing investigational drug products, (4) preclinical studies, (5) drug discovery research and (6) the development of new drug formulations and manufacturing processes.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was $53.9 million and $120.2 million for the three and six months ended June 30, 2026, respectively, compared to $60.5 million and $121.2 million for the comparable periods in 2025. The decreases were primarily due to decreased expenses related to the development programs that are nearing completion and the decrease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 of manufacturing relacorilant that was recorded as research and development expenses prior to receiving regulatory approval, partially offset by increased expenses related to the advancement of our development programs and employee compensation expenses.</w:t>
      </w:r>
    </w:p>
    <w:tbl>
      <w:tblPr>
        <w:tblW w:w="10205" w:type="dxa"/>
        <w:jc w:val="left"/>
        <w:tblInd w:w="0" w:type="dxa"/>
        <w:tblLayout w:type="fixed"/>
        <w:tblCellMar>
          <w:top w:w="28" w:type="dxa"/>
          <w:left w:w="28" w:type="dxa"/>
          <w:bottom w:w="28" w:type="dxa"/>
          <w:right w:w="28" w:type="dxa"/>
        </w:tblCellMar>
      </w:tblPr>
      <w:tblGrid>
        <w:gridCol w:w="1701"/>
        <w:gridCol w:w="1473"/>
        <w:gridCol w:w="1480"/>
        <w:gridCol w:w="224"/>
        <w:gridCol w:w="766"/>
        <w:gridCol w:w="115"/>
        <w:gridCol w:w="115"/>
        <w:gridCol w:w="115"/>
        <w:gridCol w:w="115"/>
        <w:gridCol w:w="224"/>
        <w:gridCol w:w="766"/>
        <w:gridCol w:w="115"/>
        <w:gridCol w:w="109"/>
        <w:gridCol w:w="109"/>
        <w:gridCol w:w="109"/>
        <w:gridCol w:w="211"/>
        <w:gridCol w:w="826"/>
        <w:gridCol w:w="109"/>
        <w:gridCol w:w="109"/>
        <w:gridCol w:w="109"/>
        <w:gridCol w:w="109"/>
        <w:gridCol w:w="211"/>
        <w:gridCol w:w="826"/>
        <w:gridCol w:w="159"/>
      </w:tblGrid>
      <w:tr>
        <w:trPr/>
        <w:tc>
          <w:tcPr>
            <w:tcW w:w="170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programs: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Cushing’s syndrome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Metabolic diseases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and early-stage selective cortisol modulators and ALS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activities, including manufacturing and regulatory activities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60,471 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121,206 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is difficult to predict the timing and cost of development activities, which are subject to many uncertainties and risks, including inconclusive or negative results, slow patient enrollment, adverse side effects and difficulties in the formulation or manufacture of study drugs and lack of drug-candidate efficacy. In addition, clinical development is subject to government oversight and regulations that may change without notice. We expect our research and development expense to be higher in 2026 than in 2025 as our clinical programs advance and we initiate new clinical trials. Research and development spending in future years will depend on the outcome of our pre-clinical and clinical trials and our development plans.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Selling, general and administrative expense </w:t>
      </w:r>
      <w:r>
        <w:rPr>
          <w:color w:val="000000"/>
        </w:rPr>
        <w:t xml:space="preserve">– </w:t>
      </w:r>
      <w:r>
        <w:rPr>
          <w:rFonts w:ascii="Times New Roman;serif" w:hAnsi="Times New Roman;serif"/>
          <w:b w:val="false"/>
          <w:color w:val="000000"/>
          <w:sz w:val="20"/>
        </w:rPr>
        <w:t>Selling, general and administrative expense includes (1) recruiting and compensating commercial and administrative personnel, (2) the cost of vendors supporting commercial activities and (3) legal and accounting fees.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was $156.9 million and $302.3 million for the three and six months ended June 30, 2026, respectively, compared to $103.9 million and $194.5 million for the comparable periods in 2025. The increases were primarily due to increased sales and marketing activities and employee compensation expenses to support commercialization of our Hypercortisolism Products and Lifyorli.</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our selling, general and administrative expense to be higher in 2026 than in 2025 due to increased commercial and administrative activities to support our increased sales and marketing efforts.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Interest and other income </w:t>
      </w:r>
      <w:r>
        <w:rPr>
          <w:rFonts w:ascii="Times New Roman;serif" w:hAnsi="Times New Roman;serif"/>
          <w:b w:val="false"/>
          <w:color w:val="000000"/>
          <w:sz w:val="20"/>
        </w:rPr>
        <w:t>- Interest and other income was $4.6 million and $9.5 million for the three and six months ended June 30, 2026, respectively, compared to $5.0 million and $11.2 million for the comparable periods in 2025 and consisted primarily of interest income from marketable securities. The decreases were due to market-wide decreases in interest rates and lower cash, cash equivalents and marketable securities.</w:t>
      </w:r>
    </w:p>
    <w:p>
      <w:pPr>
        <w:pStyle w:val="TextBody"/>
        <w:bidi w:val="0"/>
        <w:spacing w:lineRule="auto" w:line="288" w:before="180" w:after="283"/>
        <w:ind w:left="0" w:right="0" w:firstLine="540"/>
        <w:jc w:val="both"/>
        <w:rPr/>
      </w:pPr>
      <w:r>
        <w:rPr>
          <w:rFonts w:ascii="Times New Roman;serif" w:hAnsi="Times New Roman;serif"/>
          <w:b w:val="false"/>
          <w:i/>
          <w:color w:val="000000"/>
          <w:sz w:val="20"/>
        </w:rPr>
        <w:t xml:space="preserve">Income tax </w:t>
      </w:r>
      <w:r>
        <w:rPr>
          <w:rFonts w:ascii="Times New Roman;serif" w:hAnsi="Times New Roman;serif"/>
          <w:b w:val="false"/>
          <w:color w:val="000000"/>
          <w:sz w:val="20"/>
        </w:rPr>
        <w:t>- Income tax expense was $2.9 million for the three months ended June 30, 2026, while income tax benefit was $10.0 million for the six months ended June 30, 2026, compared with income tax benefits of $3.5 million and $14.4 million for the comparable periods in 2025, respectively. The increase in income tax expense during the three months ended June 30, 2026 and decrease in income tax benefit during the six months ended June 30, 2026 were primarily due to a decrease in stock compensation deductions in 2026 as compared to the comparable periods in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2015, we have relied on revenues from the sale of our Products to fund our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plans and expectations, we expect to fund our operations and planned research and development activities over the next 12 months and beyond without needing to raise additional funds, although we may choose to raise additional funds for other reasons. If we were to raise funds, equity financing would be dilutive, debt financing could involve restrictive covenants and funds raised through collaborations with other companies may require us to relinquish certain rights in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marketable securities of $544.6 million, consisting of cash and cash equivalents of $111.0 million and marketable securities of $433.6 million, compared to cash, cash equivalents and marketable securities of $532.4 million, consisting of cash and cash equivalents of $120.5 million and marketable securities of $411.9 million as of December 31,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cash in our bank accounts and our marketable securities could be reduced or our access to them restricted if the financial institutions holding them were to fail or severely adverse conditions were to arise in the markets for public or private debt securities. We have never experienced a material lack of access to cash or material realized losses.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$16.8 million for the six months ended June 30, 2026, compared to $49.1 million for the comparable period in 2025. The decrease was primarily due to lower net income resulting from higher operating expenses to support increased sales and marketing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$24.7 million for the six months ended June 30, 2026, compared to net cash provided by investing activities of $67.0 million for the comparable period in 2025. The change was primarily due to the allocation of cash towards purchases of marketable securities during the six months ended June 30, 2026. In the comparable period in 2025, we allocated higher cash proceeds from the maturities of marketable securities towards cash equivalents to purchase shares in connection with our stock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$1.3 million for the six months ended June 30, 2026, compared to $142.7 million for the comparable period in 2025. In the six months ended June 30, 2026, we spent $17.2 million to acquire our common stock in connection with the satisfaction of statutory withholding requirements for net settlement of cashless option exercises and vesting of restricted stock grants, offset by $6.2 million received in connection with our ESPP and $9.7 million net cash received from the exercise of stock options. In the comparable period in 2025, we spent $158.7 million acquiring shares of our common stock, comprised of $130.5 million in connection with our stock repurchase program and $28.2 million to acquire our common stock in connection with the satisfaction of statutory withholding requirements for net settlement of cashless option exercises and vesting of restricted stock grants, offset by $5.0 million received in connection with our ESPP and $11.0 million net cash received from the exercise of stock options.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had retained earnings of $654.6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contractual payment obligations and purchase commitments are disclosed in our Annual Report on Form 10-K for the year ended December 31, 2025. Other than the addition of a commitment to purchase $10.2 million of API, our payment obligations and purchase commitments did not change materially during the six months ended June 30, 2026. See Note 4 to our Unaudited Condensed Consolidated Financial Statements for more information regarding our purchase commitments.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GAAP, which requires us to make estimates and judgments that affect the amount of assets, liabilities and expenses we report. We base our estimates on historical experience and on other assumptions we believe to be reasonable. Actual results may differ from our estimates. Our significant accounting policies are described in our Annual Report on Form 10-K for the fiscal year ended December 31, 2025. There were no changes that occurred during the fiscal quarter covered by this report that materially affected, or are reasonably likely to materially affect,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market risks as of June 30, 2026 are disclosed in our Annual Report on Form 10-K for the year ended December 31, 2025. The market risks associated with our cash, cash equivalents and marketable securities, which consist entirely of debt instruments with original maturities of no more than 25 months, did not change materially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540"/>
        <w:jc w:val="both"/>
        <w:rPr/>
      </w:pPr>
      <w:r>
        <w:rPr>
          <w:rFonts w:ascii="Times New Roman;serif" w:hAnsi="Times New Roman;serif"/>
          <w:b/>
          <w:i/>
          <w:color w:val="000000"/>
          <w:sz w:val="20"/>
        </w:rPr>
        <w:t>Evaluation of disclosure controls and procedures</w:t>
      </w:r>
      <w:r>
        <w:rPr>
          <w:rFonts w:ascii="Times New Roman;serif" w:hAnsi="Times New Roman;serif"/>
          <w:b w:val="false"/>
          <w:color w:val="000000"/>
          <w:sz w:val="20"/>
        </w:rPr>
        <w:t>. As of June 30, 2026, our management conducted an evaluation, under the supervision and with the participation of our Chief Executive Officer and Chief Financial Officer, of the effectiveness of the design and operation of our disclosure controls and procedures, as defined in Rules 13a-15(e) and 15d-15(e) under the Securities Exchange Act of 1934 (the “Exchange Act”). Based upon that evaluation, our Chief Executive Officer and Chief Financial Officer concluded that, as of June 30, 2026, our disclosure controls and procedures were effective to provide reasonable assurance that the information required to be disclosed by the Company in the reports that it files or submits under the Exchange Act is recorded, processed, summarized and reported within the time periods specified in SEC rules and forms and that such information is accumulated and communicated to the officers who certify our financial reports and to the members of the Company’s senior management and board of directors as appropriate to allow timely decisions regarding required disclosure at the reasonable assurance level.</w:t>
      </w:r>
    </w:p>
    <w:p>
      <w:pPr>
        <w:pStyle w:val="TextBody"/>
        <w:bidi w:val="0"/>
        <w:spacing w:lineRule="auto" w:line="288" w:before="180" w:after="283"/>
        <w:ind w:left="0" w:right="0" w:firstLine="540"/>
        <w:jc w:val="both"/>
        <w:rPr/>
      </w:pPr>
      <w:r>
        <w:rPr>
          <w:rFonts w:ascii="Times New Roman;serif" w:hAnsi="Times New Roman;serif"/>
          <w:b/>
          <w:i/>
          <w:color w:val="000000"/>
          <w:sz w:val="20"/>
        </w:rPr>
        <w:t>Changes in internal control over financial reporting</w:t>
      </w:r>
      <w:r>
        <w:rPr>
          <w:rFonts w:ascii="Times New Roman;serif" w:hAnsi="Times New Roman;serif"/>
          <w:b w:val="false"/>
          <w:color w:val="000000"/>
          <w:sz w:val="20"/>
        </w:rPr>
        <w:t>. Our Chief Financial Officer and other members of management evaluated the changes in our internal control over financial reporting during the quarter ended June 30, 2026 and concluded that there was no change during the quarter that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Purported Securities Class Action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On February 20, 2026, a purported securities class action complaint was filed in the United States District Court for the Northern District of California by the Allegheny County Employees’ Retirement System (</w:t>
      </w:r>
      <w:r>
        <w:rPr>
          <w:rFonts w:ascii="Times New Roman;serif" w:hAnsi="Times New Roman;serif"/>
          <w:b w:val="false"/>
          <w:i/>
          <w:color w:val="000000"/>
          <w:sz w:val="20"/>
        </w:rPr>
        <w:t>Allegheny County Employees’ Retirement System v. Corcept Therapeutics Incorporated, et al.</w:t>
      </w:r>
      <w:r>
        <w:rPr>
          <w:rFonts w:ascii="Times New Roman;serif" w:hAnsi="Times New Roman;serif"/>
          <w:b w:val="false"/>
          <w:color w:val="000000"/>
          <w:sz w:val="20"/>
        </w:rPr>
        <w:t>, Case No. 3:26-cv-1525) (the “Securities Action”). The complaint names Corcept and certain of its executive officers as defendants asserting violations of Sections 10(b) and 20(a) of the Exchange Act and Rule 10b-5 and alleges, among other things, that the defendants made or are responsible for making false and materially misleading statements and omissions regarding our NDA for relacorilant as a treatment for patients with hypercortisolism. The complaint asserts a putative class period from October 31, 2024, to December 30, 2025 and seeks damages, attorneys’ fees and costs and unspecified relief. Three groups of purported Corcept stockholders and their counsel have filed motions for appointment as lead plaintiff and lead counsel. We will vigorously defend ourselves against this lawsuit.</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Teva Patent Litigation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2018, we received a Paragraph IV Notice Letter advising that Teva Pharmaceuticals USA, Inc. (“Teva”) had submitted an Abbreviated New Drug Application (“ANDA”) to the FDA seeking authorization to manufacture and sell a generic version of Korlym prior to the expiration of patents related to Korlym that are listed in the FDA’s Approved Drug Products with Therapeutic Equivalence Evaluations (the “Orange Book”). In March 2018, we filed a lawsuit in the United States District Court for the District of New Jersey (“D.N.J.”) against Teva for infringement of our patents. In August 2020, Teva received final approval from the FDA for its ANDA in accordance with the Hatch-Waxman Act. And, in November 2020, the Patent Trial and Appeal Board (“PTAB”) issued a decision upholding the validity of U.S. Patent No. 10,195,214 (the “’214 patent”) in its entirety, which decision the Court of Appeals for the Federal Circuit upheld.</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Trial was held in September 2023, before Judge Renee Marie Bumb in the D.N.J. regarding infringement of the ’214 patent and U.S. Patent No. 10,842,800 (the “’800 patent”). In December 2023, Judge Bumb ruled that Teva’s proposed generic product would not infringe either of these patents. Teva launched its generic product in January 2024. We appealed the District Court’s ruling to the United States Court of Appeals for the Federal Circuit, which heard oral argument in the matter in July 2025. On February 19, 2026, the appellate court affirmed the District Court’s ruling, finding no infringement of either the ’214 or the ’800 patent. On April 22, 2026, we filed a petition for rehearing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to the United States Court of Appeals for the Federal Circuit asking all active judges of the circuit to review the decision of the three-judge panel. On July 10, 2026, the Court denied our petition for rehearing.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will continue to vigorously enforce our intellectual property rights relating to Korlym.</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Antitrust Litigation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June 2024, Teva filed a complaint in the Northern District of California, captioned </w:t>
      </w:r>
      <w:r>
        <w:rPr>
          <w:rFonts w:ascii="Times New Roman;serif" w:hAnsi="Times New Roman;serif"/>
          <w:b w:val="false"/>
          <w:i/>
          <w:color w:val="000000"/>
          <w:sz w:val="20"/>
        </w:rPr>
        <w:t>Teva Pharmaceuticals USA, Inc. v. Corcept Therapeutics, Inc., et al.</w:t>
      </w:r>
      <w:r>
        <w:rPr>
          <w:color w:val="000000"/>
        </w:rPr>
        <w:t xml:space="preserve"> </w:t>
      </w:r>
      <w:r>
        <w:rPr>
          <w:rFonts w:ascii="Times New Roman;serif" w:hAnsi="Times New Roman;serif"/>
          <w:b w:val="false"/>
          <w:color w:val="000000"/>
          <w:sz w:val="20"/>
        </w:rPr>
        <w:t>(N.D. Cal.), Case No. 5:24-cv-03567 (the “Teva Antitrust Litigation”). This lawsuit names, as defendants, Corcept and Optime Care, Inc. (“Optime”), the specialty pharmacy that previously served as our exclusive specialty pharmacy services vendor dispensing Korlym and the authorized generic version of Korlym and performing related pharmacy and patient support services. The lawsuit alleges, among other things, that Corcept and Optime violated federal and state laws related to antitrust and unfair business practices. In September 2025, the District Court granted in part and denied in part defendants’ motion to dismiss the lawsuit, thereby dismissing some of Teva’s claims and theories. Teva subsequently filed a Second Amended Complaint (“SAC”) reasserting some of its state law claims, and, later, a Third Amended Complaint (“TAC”) adding claims related to Corcept’s agreement with the new specialty pharmacy vendor to which we transferred specialty pharmacy services in 2025. Corcept and Optime filed motions to dismiss portions of Teva’s SAC and TAC. On May 5, 2026, the Court partially granted and partially denied these motions, allowing the case to proceed. The case is scheduled for trial in March 2027.</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February 2025, several named plaintiffs filed a complaint against Corcept in the Alameda County Superior Court for the State of California, captioned </w:t>
      </w:r>
      <w:r>
        <w:rPr>
          <w:rFonts w:ascii="Times New Roman;serif" w:hAnsi="Times New Roman;serif"/>
          <w:b w:val="false"/>
          <w:i/>
          <w:color w:val="000000"/>
          <w:sz w:val="20"/>
        </w:rPr>
        <w:t>Aetna Inc., Health Care Service Corporation, Humana Inc. and Molina Healthcare Inc. v. Corcept Therapeutics, Inc</w:t>
      </w:r>
      <w:r>
        <w:rPr>
          <w:rFonts w:ascii="Times New Roman;serif" w:hAnsi="Times New Roman;serif"/>
          <w:b w:val="false"/>
          <w:color w:val="000000"/>
          <w:sz w:val="20"/>
        </w:rPr>
        <w:t xml:space="preserve">., Case No. 25CV110493 (the “Aetna Litigation”). This lawsuit names Corcept as the sole defendant and includes allegations substantially similar to those made in the Teva Antitrust Litigation. In March 2025, Corcept filed a cross-complaint against the plaintiffs in the Aetna Litigation and a notice to remove this lawsuit from state court to federal court. In September 2025, the United States District Court for the Northern District of California granted the plaintiffs’ motion to remand this case back to the state court. On July 20, 2026, the Alameda County Superior Court for the State of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denied our motion to stay this proceeding pending resolution of the Teva Antitrust Litigation. The Court also granted in part and denied in part our motion to dismiss the plaintiffs’ complaint. A trial date has not been set for the Aetna Litigation.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will continue to vigorously defend ourselves against these lawsuits.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Qui Tam Litigation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2017, a qui tam lawsuit was filed under seal in the U.S. District Court for the District of New Jersey </w:t>
      </w:r>
      <w:r>
        <w:rPr>
          <w:rFonts w:ascii="Times New Roman;serif" w:hAnsi="Times New Roman;serif"/>
          <w:b w:val="false"/>
          <w:i/>
          <w:color w:val="000000"/>
          <w:sz w:val="20"/>
        </w:rPr>
        <w:t>(U.S. et al. ex rel. Stephen Elliott v. Corcept Therapeutics, Inc.</w:t>
      </w:r>
      <w:r>
        <w:rPr>
          <w:rFonts w:ascii="Times New Roman;serif" w:hAnsi="Times New Roman;serif"/>
          <w:b w:val="false"/>
          <w:color w:val="000000"/>
          <w:sz w:val="20"/>
        </w:rPr>
        <w:t>, No. 17-CV-1303 (SRC)) by a former employee who worked at Corcept until August 2016 (the “Qui Tam Action”). A qui tam action is a lawsuit brought by a private person, referred to as a relator, on behalf of the government. If successful, the relator may be entitled to receive a portion of any recovery. The Qui Tam Action alleged, among other things, that Corcept violated the federal False Claims Act and similar state laws in connection with our sales of Korlym. As previously disclosed, the Department of Justice (the “DOJ”) and the United States Attorney’s Office for the District of New Jersey (the “NJ USAO”) issued a records subpoena to Corcept in connection with the Qui Tam Action in November 2021, pursuant to Section 248 of the Health Insurance Portability and Accountability Act of 1996 (“HIPAA”), which sought information relating to Korlym. We fully cooperated in response to the subpoena and in May 2026, the DOJ and the NJ USAO declined to intervene in the Qui Tam Action. On June 2, 2026, the relator served Corcept with an amended complaint indicating his intent to pursue this action without the participation of the DOJ. Our response to the amended complaint is due on September 21, 2026. We will vigorously defend ourselves against this action.</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Other Litigation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On April 10, 2026, a purported shareholder derivative complaint was filed in the U.S. District Court for the Northern District of California by Mark LeRiger, captioned </w:t>
      </w:r>
      <w:r>
        <w:rPr>
          <w:rFonts w:ascii="Times New Roman;serif" w:hAnsi="Times New Roman;serif"/>
          <w:b w:val="false"/>
          <w:i/>
          <w:color w:val="000000"/>
          <w:sz w:val="20"/>
        </w:rPr>
        <w:t>LeRiger v. Belanoff et al.</w:t>
      </w:r>
      <w:r>
        <w:rPr>
          <w:rFonts w:ascii="Times New Roman;serif" w:hAnsi="Times New Roman;serif"/>
          <w:b w:val="false"/>
          <w:color w:val="000000"/>
          <w:sz w:val="20"/>
        </w:rPr>
        <w:t>, Case No. 3:26-cv-03106 (N.D. Cal.). This complaint names as defendants several of our executive officers, all current members of our board of directors and one former director. Corcept is named as a nominal defendant. Based on the same statements at issue in the Securities Action, the complaint asserts claims for violations of Section 10(b) of the Exchange Act and Rule 10b-5 promulgated thereunder, breach of fiduciary duty, unjust enrichment, waste of corporate assets, and disgorgement of insider trading profits. The complaint seeks unspecified monetary relief and various forms of equitable relief, including disgorgement. This action has been stayed pending resolution of the anticipated motion to dismiss in the Securities Action.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above-described matters, we are involved from time to time in other legal proceedings arising in the ordinary course of our business. Although the outcome of any such matters and the amount, if any, of our liability with respect to them cannot be predicted with certainty, we do not believe that they will have a material adverse effect on our business,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significant risks. Before investing, carefully consider the risks described below and the other information in this quarterly report, including our condensed consolidated financial statements and related notes. The risks and uncertainties described below are the ones we believe may materially affect us. There may be others of which we are unaware that could materially harm our business or financial condition and cause the price of our stock to decline, in which case you could lose all or part of your investment.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Summary of Principal Risks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bullet points summarize the principal risks we face, each of which could adversely affect our business, operations and financial results. Below, we have arranged these risks by the part of our business they most directly affect.</w:t>
      </w:r>
    </w:p>
    <w:p>
      <w:pPr>
        <w:pStyle w:val="TextBody"/>
        <w:bidi w:val="0"/>
        <w:spacing w:lineRule="auto" w:line="288" w:before="180" w:after="283"/>
        <w:ind w:left="0" w:right="0" w:firstLine="547"/>
        <w:jc w:val="center"/>
        <w:rPr>
          <w:rFonts w:ascii="Times New Roman;serif" w:hAnsi="Times New Roman;serif"/>
          <w:b/>
          <w:color w:val="000000"/>
          <w:sz w:val="20"/>
        </w:rPr>
      </w:pPr>
      <w:r>
        <w:rPr>
          <w:rFonts w:ascii="Times New Roman;serif" w:hAnsi="Times New Roman;serif"/>
          <w:b/>
          <w:color w:val="000000"/>
          <w:sz w:val="20"/>
        </w:rPr>
        <w:t>Risks Related to our Commercial Activities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Failure to generate sufficient revenue from the sale of Korlym, our authorized generic of Korlym, and Lifyorli (collectively, our “Products”) would harm our financial results and would likely cause our stock price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adoption of generic versions of Korlym, other than our authorized generic of Korlym, could adversely affect our business, results of operations and financial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perception of mifepristone or legislation limiting or barring its distribution or use for termination of early pregnancy may limit our ability to sell our current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Research and Development Activities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 clinical trial results demonstrate safety and efficacy, regulatory authorities may not agree. Failure to obtain or maintain regulatory approvals for our product candidates would prevent us from commercializing them.</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not be able to secure, maintain or effectively assert patent protection for the composition, manufacture, or methods of use of our Products and our proprietary, selective cortisol modulators. Litigation is slow moving, expensive and its outcome is uncertain and subject to challenge on appeal.</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Stock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price of our common stock fluctuates widely and is likely to continue to do so. Opportunities for investors to sell shares may be limited.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stock price may decline if our financial performance does not meet the guidance we have provided to the public, estimates published by research analysts or other investor expectations.</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Actions by the federal government of the United States have created unprecedented legal, governmental, regulatory and economic uncertainty and risks that may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 Factors – Discussion</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section discusses the principal risks listed above, as well as other risks we believe to be material.</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Risks Related to our Commercial Activities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Failure to generate sufficient revenue from the sale of Korlym, our authorized generic of Korlym, and Lifyorli (collectively, our “Products”) would harm our financial results and would likely cause our stock price to decline.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generate revenue and to fund our commercial operations and development programs is dependent on the sale of our Products. Physicians will prescribe our Products if they determine that they are preferable to other treatments.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factors could limit our product revenue,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many physicians are inexperienced in diagnosing or caring for patients with hypercortisolism and it can be hard to persuade them to identify appropriate patients and treat them with our Hypercortisolism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preference of physicians or payors for competing treatments for patients with platinum-resistant ovarian cancer or hypercortisolism, including off-label treatments and generic versions of Korlym;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lack of availability of government or private insurance, the shift of a significant number of patients to Medicaid, which reimburses our Products at a significantly lower price, or the introduction of government price controls or other price-reducing regulations, such as the Inflation Reduction Act of 2022, that may significantly limit Medicare reimbursement rates and the One Big Beautiful Bill Act (“OBBBA”) of 2025, which will reduce Medicaid funding significantly;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disruptions in our supply chain due to the imposition of tariffs or other restrictions on trade;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inability of our pharmacy and distributor vendors to dispense our Products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generate sufficient product revenue could prevent us from fully funding our planned commercial and clinical activities and would likely cause our stock price to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availability and adoption of generic versions of Korlym, other than our authorized generic of Korlym, could adversely affect our business, results of operations and financial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2018, we brought suit in Federal District Court to prevent Teva from violating our patents. In December 2023, the Court issued a ruling in Teva’s favor. In January 2024, Teva launched a generic version of Korlym. We appealed the District Court’s decision to the U.S. Court of Appeals for the Federal Circuit. In February 2026, the appellate court affirmed the District Court’s ruling. If Teva’s commercial efforts are successful, they may materially harm our results of operations and financial condition by reducing the number of tablets we sell or lowering their price or both.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have litigation settlements with Sun Pharmaceutical Industries Limited (“Sun”) and Hikma Pharmaceuticals USA Inc. (“Hikma”) that allow them to begin selling mifepristone, with customary restrictions, provided the FDA has approved their products and Teva’s generic product remains commercially available. The availability and adoption of generic versions of Korlym from Sun or Hikma could materially harm our results of operations and financial condition by reducing the number of tablets we sell or lowering their price or both.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Intellectual property litigation is complex, costly and involves significant commitments of management time. Other companies may seek FDA approval to market generic versions of Korlym, in which case we will vigorously protect our intellectual property. However, there can be no assurance our efforts will be successful.</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Public perception of mifepristone or legislation limiting or barring its distribution or use for termination of early pregnancy may limit our ability to sell our current Products.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active ingredient in our Hypercortisolism Products, mifepristone, is approved by the FDA in another drug for the termination of early pregnancy. In 2022, the United States Supreme Court published its decision in the case of </w:t>
      </w:r>
      <w:r>
        <w:rPr>
          <w:rFonts w:ascii="Times New Roman;serif" w:hAnsi="Times New Roman;serif"/>
          <w:b w:val="false"/>
          <w:i/>
          <w:color w:val="000000"/>
          <w:sz w:val="20"/>
        </w:rPr>
        <w:t>Dobbs v. Jackson Women’s Health Organization</w:t>
      </w:r>
      <w:r>
        <w:rPr>
          <w:color w:val="000000"/>
        </w:rPr>
        <w:t xml:space="preserve"> </w:t>
      </w:r>
      <w:r>
        <w:rPr>
          <w:rFonts w:ascii="Times New Roman;serif" w:hAnsi="Times New Roman;serif"/>
          <w:b w:val="false"/>
          <w:color w:val="000000"/>
          <w:sz w:val="20"/>
        </w:rPr>
        <w:t xml:space="preserve">(“Dobbs”), which overturned </w:t>
      </w:r>
      <w:r>
        <w:rPr>
          <w:rFonts w:ascii="Times New Roman;serif" w:hAnsi="Times New Roman;serif"/>
          <w:b w:val="false"/>
          <w:i/>
          <w:color w:val="000000"/>
          <w:sz w:val="20"/>
        </w:rPr>
        <w:t>Roe v. Wade</w:t>
      </w:r>
      <w:r>
        <w:rPr>
          <w:rFonts w:ascii="Times New Roman;serif" w:hAnsi="Times New Roman;serif"/>
          <w:b w:val="false"/>
          <w:color w:val="000000"/>
          <w:sz w:val="20"/>
        </w:rPr>
        <w:t xml:space="preserve">, the 1973 Supreme Court decision that had established a woman’s right to terminate her pregnancy, subject to certain limitations. Dobbs has stimulated many states to enact laws restricting the legality of abortion and mifepristone, including during early pregnancy and under specific conditions of use. More laws banning or heavily restricting termination of pregnancy may be adopted and existing laws may be made more restrictive. On June 13, 2024, in a highly publicized case, the Supreme Court ruled against plaintiffs seeking to restrict access to mifepristone for terminating pregnancy, holding that they lacked standing (i.e., the right to sue), thus preserving current access to mifepristone. Because the Supreme Court’s decision was made solely on procedural grounds, the ruling does not necessarily foreclose other challenges to the continued availability of mifepristone. The timing and outcome of any subsequent cases, as well as additional legislative changes, are uncertain.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HHS announced it will re-examine the safety of mifepristone for use in the termination of early pregnancy. There can be no assurance this re-examination will not result in restrictions on the distribution of mifepristone for any use, including the treatment of patients with hypercortisolism. Heightened public awareness of mifepristone as an abortifacient may draw the attention of hostile federal and state government officials or political activists to our Hypercortisolism Products – as could additional public debate concerning current or proposed restrictions on the distribution of mifepristone. This may be the case even though (i) our Hypercortisolism Products are not approved for the termination of pregnancy, (ii) we do not promote them for that use and (iii) we have taken measures to minimize the chance that they will accidentally be prescribed to a pregnant woman.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New laws, government regulations, or changes to existing laws and regulations could make it difficult or impossible for us to obtain acceptable prices or adequate insurance coverage and reimbursement for our Products, which would adversely affect our results of operations and financial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commercial success of our Products depends on the availability of acceptable pricing and adequate insurance coverage and reimbursement. Government payers, including Medicare, Medicaid, the Veterans Administration and the Department of Defense, as well as private insurers and pharmacy benefit managers, are increasingly attempting to contain healthcare costs by limiting access and reimbursement for medicines. In many foreign markets, drug prices and the profitability of prescription medications are subject to government control. In the United States, we expect that there will continue to be federal and state proposals for similar controls. Also, the trends toward managed health care in the United States and recent laws and legislation intended to increase the public visibility of drug prices and reduce the cost of government and private insurance programs could significantly influence the purchase of health care services and products and may result in lower prices for our Products. If government or private payers cease to provide adequate and timely coverage, pricing and reimbursement for our Products, physicians may not prescribe the medication and patients may not purchase it, even if it is prescribed, or the price we receive may be reduced, which would reduce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continue to be legislative initiatives to contain healthcare costs. The IRA significantly changed the way Medicare pays for prescription drugs. The IRA requires the Secretary of the U.S. Department of Health and Human Services to negotiate Medicare prices for selected drugs and biologicals, including both physician-administered products covered under Medicare’s Part B benefit and self-administered drugs such as our Products that are covered under the Part D benefit. Each year, the Secretary will select for price negotiation a specified number of negotiation-eligible drugs with the highest total Part B or D expenditures over the preceding 12-month period. To be eligible for price negotiation, a drug must have been on the market for at least seven years without generic competition. Orphan drugs, such as our Hypercortisolism Products, that are indicated for only one rare disease or condition and drugs with less than $200 million in annual Medicare expenditures are exempt from the negotiation program. For the first two years of the program, 2026 and 2027, only Part D drugs are eligible. The Secretary will publish the negotiated price, known as the “Maximum Fair Price” (“MFP”), for each of the selected products. Manufacturers of selected drugs would be required to offer the drug to Medicare recipients at the MFP. Manufacturers who fail to negotiate with the Secretary or offer their drug to Medicare recipients at the MFP can face significant civil money penalties or excise tax liability on sales of that drug. The Centers for Medicare and Medicaid Services (“CMS”) has implemented the IRA through guidance documents but has announced a proposed rulemaking to transition the implementation of the program to formal rulemaking. Several pharmaceutical companies, as well as the U.S. Chamber of Commerce, and the Pharmaceutical Research and Manufacturers of America have filed lawsuits against the HHS and CMS, asserting that, among other things, the IRA’s drug price negotiation program for Medicare constitutes an uncompensated taking in violation of the Fifth Amendment of the U.S. Constitution and is otherwise unlawful. The HHS has generally won the substantive disputes in these cases. The HHS has generally continued to win the substantive disputes in appeals, and the Supreme Court has denied certiorari, thus leaving intact these appellate decisions in favor of HHS. If our Products or any drug we commercialize become eligible for Medicare negotiation, the revenue we generate from sales of those drugs may be significantly reduced.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IRA also establishes an inflation rebate program that requires manufacturers to pay rebates to the Medicare program if any of the medications they provide Medicare recipients increase in price faster than the rate of inflation. The Part D inflation rebate provision went into effect on October 1, 2022. Although manufacturers are generally familiar with inflation rebates under the Medicaid program, where they have existed for decades, the IRA represents the first time that inflation rebates have been extended to the Medicare program. The inflation rebate provision applies to any medication sold to Medicare recipients, whether or not that medication is subject to Medicare price negotiation.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IRA shifts a portion of the Medicare beneficiary costs from the government and beneficiaries to manufacturers in the form of limitations on price increases and rebates paid to the government. We anticipate that this provision will limit the revenue we receive from Medicare patients and may materially reduce our revenue and profits in 2026 and beyond.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Congress could also introduce and ultimately pass additional health care legislation changing the Medicare Drug Price Negotiation Program created under the IRA, which may lower the price that we receive for our Products.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OBBBA was signed into law, which reduced funding to federal healthcare programs and imposed additional requirements to be eligible for healthcare, which may result in decreased access to healthcare, particularly in Medicaid programs.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make grants to independent charitable foundations that help financially needy patients with their premium, co-pay, and co-insurance obligations with respect to their hypercortisolism treatment, regardless of whether that treatment includes one of our Hypercortisolism Products. There has been enhanced scrutiny of company-sponsored patient assistance programs, including insurance premium and co-pay assistance programs and donations to third-party charities that provide such assistance. As a result of this scrutiny, these assistance programs and charities may decide to reduce or eliminate entirely the assistance they provide to patients, which could result in fewer patients receiving the financial support they need to cover the cost of their hypercortisolism care, including the cost of medication, which may include one of our Hypercortisolism Products.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governmental oversight and scrutiny of pharmaceutical companies to increase and that there will be additional attempts to change the healthcare system in ways that could harm our ability to sell our Products and any other drugs we commercialize profitably, including new policies intended to curb healthcare costs, such as federal and state controls on reimbursement for drugs (including under Medicare and commercial health plans), new or increased requirements to pay prescription drug rebates and penalties to government health care programs and policies that require drug companies to disclose and justify the prices they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expansion, finalization or implementation of these or similar most favored nation (“MFN”) or MFN-based pricing initiatives could subject our Products to additional rebate obligations, negatively impact our pricing strategies, product demand, or competitive positioning across global markets, and may result in reduced revenue.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Federal legislative and regulatory efforts to implement reference pricing or most-favored-nation pricing models could impact our future product revenues and materially harm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CMS proposed rules under its Center for Medicare and Medicaid Innovation (“CMMI”) authority known as the Guarding U.S. Medicare Against Rising Drug Costs (“GUARD”) model for medications such as Lifyorli that are covered by Medicare Part D. As currently proposed, GUARD would impose additional rebates on manufacturers of qualifying drugs that would have the effect of lowering the Medicare price for such drugs to prices paid in countries that are economically comparable to the United States. These rebates would cover 25 percent of Medicare Part D beneficiaries and would impact Medicare Part D sales for these beneficiaries, with the rebates with respect to the remaining 75 percent of beneficiaries being unaffected. Under the rules as proposed, GUARD rebates for a drug would be set for the years from January 1, 2027-December 31, 2031 based on the lowest ex-U.S. defined price offered in 2027.</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Participation in GUARD would likely be mandatory for us. The GUARD rules are not yet final and may change.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GUARD program remains subject to legal challenges and change through rulemaking or regulatory guidance. It remains to be seen whether and how drug pricing initiatives like these will apply to our product candidates, if approved, how they will affect the broader pharmaceutical industry, and whether similar reform measures may be adopted in the future.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derive a substantial portion of our revenue from U.S. sales, and any requirement to pay additional rebates in the U.S. to match international reference prices would impact our future overall net product revenue. In addition, MFN pricing models in the U.S. could also affect our international commercial strategy, directly and/or through our commercial partners, and future decisions on reimbursement and commercialization in certain jurisdictions.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depend on vendors to manufacture the active pharmaceutical ingredient (“API”) and capsules or tablets for our commercialized products as well as our product candidates. We also depend on vendors to package our Products and dispense them to patients. If our vendors become unable or unwilling to perform these functions or are unable to meet demand for our Products and we cannot transfer these activities to other vendors in a timely manner, our business will be harmed.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2025, our previous specialty pharmacy vendor was unable to fully meet demand for our Hypercortisolism Products. In the first quarter of 2026, we completed the transition to our new primary vendor, Curant.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Curant dispenses our Hypercortisolism Products and performs related pharmacy and patient support services, including the collection of payments from insurers representing more than 99 percent of our hypercortisolism revenue. If Curant does not adhere to its agreements with payers or does not continue to meet regulatory requirements concerning pharmacy operations, it may not be able to collect, on our behalf, some or all of the payments due to us. In addition, if Curant has operational difficulties or otherwise becomes unable or unwilling to perform obligations under our agreement, we may not be able to dispense our Hypercortisolism Products in a timely manner to some or all of our patients, which may adversely affect our business, results of operations and financial position. Our agreement with Curant became effective in June 2025 and extends to June 2028 with automatic renewal for successive one-year terms, unless terminated earlier by us upon 180 days’ notice, subject to customary termination provisions, including the right of either party to terminate in the event of a material breach by the other party. In addition, we may terminate the agreement without cause for convenience with prior written notice.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a specialty pharmacy and specialty distributors to distribute Lifyorli.</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any of our vendors fails to perform its contractual obligations to us or is materially impaired in its performance, we may experience disruptions and delays in our ability to deliver our commercialized products to patients or investigational drugs to patients in our clinical trials, which would adversely affect our business, results of operations and financial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used by our vendors to manufacture and package the API and drug product for our Products and product candidates and distribute them to hospitals, clinics and patients must be approved by government regulators in the United States, Europe, and elsewhere. We do not control the activities of these vendors, including whether they maintain adequate quality control and hire qualified personnel. We are dependent on them for compliance with the regulatory requirements known as current good manufacturing practices (“cGMPs”), which are subject to change at the regulators’ discretion. If our vendors cannot manufacture material that conforms to our specifications and the strict requirements of the FDA or others, they will not be able to maintain regulatory authorizations for their facilities and we could be prohibited from using the API or drug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they have provided. If the FDA, EMA, the Medicines and Healthcare Products Regulatory Agency (“MHRA”) or other regulatory authorities withdraw regulatory authorizations of these facilities, we may need to find alternative vendors or facilities, which would be time-consuming, complex and expensive and could significantly hamper our ability to develop, obtain regulatory approval for and market our Products. Sanctions could be imposed on us, including fines, injunctions, civil penalties, refusal of regulators to approve our product candidates, delays, suspensions or withdrawals of approvals, seizures or recalls of products, operating restrictions and criminal prosecutions, any of which could harm our business. In addition, our reputation as a reliable sponsor of clinical studies would be harmed, which would make it more difficult for us to develop our drug candidates.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companies offer medications that treat patients with hypercortisolism by mechanisms different than Korlym’s. The availability of such competing treatments could limit our product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2012, Recordati Industria Chimica e Farmaceutica S.p.A. (“Recordati”) has marketed the injectable somatostatin analogue pasireotide in the United States and EU as a treatment for adult patients with Cushing’s disease, a subset of hypercortisolism. In 2020, the FDA granted Recordati approval to market the cortisol synthesis inhibitor osilodrostat to treat patients with Cushing’s disease, which approval was broadened in April 2025 to include adult patients with any etiology of hypercortisolism.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2021, Xeris Biopharma Holdings, Inc. received FDA approval to market the cortisol synthesis inhibitor levoketoconazole to treat adult patients with hypercortisolism. Levoketoconazole is an enantiomer of the generic anti-fungal medication, ketoconazole, which is widely prescribed off-label to treat patients with hypercortisolism.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 preference for any of these approved medications or for the off-label use of generic medications such as ketoconazole to treat patients with hypercortisolism could reduce our revenue materially and harm our results of operations, causing our stock price to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companies offer medications to treat patients with platinum-resistant ovarian cancer. The availability of such competing treatments could limit our product revenue.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Chemotherapies, such as paclitaxel, doxorubicin, gemcitabine and topotecan, are commonly used to treat patients with platinum-resistant ovarian cancer as monotherapy or in combination with bevacizumab, which has been marketed by Genentech, Inc. of F. Hoffmann-La Roche Ltd since 2014.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November 2022, ImmunoGen, Inc. of AbbVie Inc. has marketed mirvetuximab soravtansine-gynx as a treatment for patients with platinum-resistant ovarian tumors that express the folate-alpha receptor at high levels, which occurs in one in every three patients.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Daiichi-Sankyo Company, Limited and AstraZeneca PLC received approval to market trastuzumab deruxtecan as a treatment for patients with platinum-resistant ovarian cancer, with tumors that express the HER-2 receptor at specified levels.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Merck &amp; Co., Inc. received approval to market pembrolizumab as a treatment for patients with platinum-resistant ovarian cancer, with tumors that express the PD-1 receptor at specified levels, which occurs in 50 to 60 percent of patients.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 preference for any of these approved medications or for the off-label use of other medications to treat patients with platinum-resistant ovarian cancer could limit our revenue materially and harm our results of operations, causing our stock price to decline.</w:t>
      </w:r>
    </w:p>
    <w:p>
      <w:pPr>
        <w:pStyle w:val="TextBody"/>
        <w:bidi w:val="0"/>
        <w:spacing w:lineRule="auto" w:line="268" w:before="180" w:after="283"/>
        <w:jc w:val="both"/>
        <w:rPr>
          <w:rFonts w:ascii="Times New Roman;serif" w:hAnsi="Times New Roman;serif"/>
          <w:b/>
          <w:color w:val="000000"/>
          <w:sz w:val="20"/>
        </w:rPr>
      </w:pPr>
      <w:r>
        <w:rPr>
          <w:rFonts w:ascii="Times New Roman;serif" w:hAnsi="Times New Roman;serif"/>
          <w:b/>
          <w:color w:val="000000"/>
          <w:sz w:val="20"/>
        </w:rPr>
        <w:t>Natural disasters, such as earthquakes, fires, extreme weather events or widespread outbreaks of a deadly disease, could disrupt our commercial and clinical activities or damage or destroy clinical trial sites, our office spaces, the residences of our employees or the facilities or residences of our vendors, contractors or consultants, which could significantly harm our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widespread occurrence of deadly illness could adversely affect our business, operations and financial results. For example, the COVID-19 pandemic made it difficult to grow our commercial business and slowed the pace of some of our clinical trials.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vulnerable to natural disasters, including earthquakes, fires, hurricanes, floods, blizzards and the extended periods of extreme heat, cold and precipitation made more frequent and severe by global warming. For example, our headquarters are in the San Francisco Bay Area, which experiences earthquakes, wildfires and flooding. Our specialty pharmacy vendors, distributors, tablet manufacturers and warehouses are in areas subject to hurricanes and tornadoes. All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activities, as well as the activities of our vendors, consultants, clinical investigators, patients, physicians and regulators, are subject to the risks posed by global warming.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loss of life, property damage and disruptions to electrical power distribution, communications, travel and shipping caused by natural disasters could make it difficult or impossible to conduct our commercial activities or complete our drug discovery activities or clinical trials. Patients may be unwilling or unable to travel to clinical trial sites, for example, or clinical materials or data may be lost.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insurance, if available at all, would likely be insufficient to cover losses resulting from disasters or other business interruptions.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are unable to maintain regulatory approval of our Products or if we fail to comply with other requirements, we will be unable to generate revenue and may be subject to penalties.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oversight by the FDA and other regulatory authorities in the United States and elsewhere with respect to our research, testing, manufacturing, quality control, labeling, packaging, distribution, adverse event reporting, storage, advertising, promotion, recordkeeping and sales and marketing activities. These requirements include submissions of safety information, annual updates on manufacturing activities and continued compliance with FDA regulations, including cGMPs, good laboratory practices and good clinical practices (“GCPs”), all of which are subject to change without notice and at the regulators’ sole discretion. Foreign regulatory authorities have comparable requirements and enforcement mechanisms, which are also subject to change. The FDA and other regulators enforce these regulations through inspections of us and the laboratories, manufacturers and clinical sites we use. Discovery of previously unknown problems with a product or product candidate, such as adverse events of unanticipated severity or frequency or deficiencies in manufacturing processes or management, as well as failure to comply with current or future FDA or other U.S. or foreign regulatory requirements, may subject us to substantial civil and criminal penalties, injunctions, holds on clinical trials, product seizure, refusal to permit the import or export of products, restrictions on product marketing, withdrawal of the product from the market, product recalls, total or partial suspension of production, refusal to approve pending new drug applications (“NDAs”) or supplemental NDAs, and suspension or revocation of product approvals.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subject to civil or criminal penalties if our marketing of our Products violates FDA regulations or health care fraud and abuse laws.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statutes and regulations governing the promotion and sale of medicine. Although physicians are permitted to prescribe drugs for any indication they choose, manufacturers may only promote products for their FDA-approved use. All other uses are referred to as “off-label”; manufacturers are prohibited from engaging in any “off-label” promotion. In the United States, we market our Hypercortisolism Products to treat hyperglycemia secondary to hypercortisolism in adult patients with endogenous hypercortisolism who have type 2 diabetes mellitus or glucose intolerance and for whom surgery has failed or is not an option and Lifyorli in combination with nab-paclitaxel to treat adult patients with platinum-resistant epithelial ovarian, fallopian tube, or primary peritoneal cancer who have received one to three prior systemic treatment regimens including bevacizumab. Among other activities, we provide promotional materials and training programs to physicians covering the use of our Products for this indication. The FDA may change its policies or enact new regulations at any time that may restrict our ability to promote our Products, which could adversely impact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FDA or a law enforcement agency were to determine that we engaged in off-label promotion, we could be required to change our practices and be subject to regulatory enforcement actions, including issuance of a public “warning letter,” untitled letter, injunction, seizure, civil fine or criminal penalties. Federal or state enforcement authorities may act if they believe that the alleged improper promotion led to the submission and payment of claims for unapproved use, which could result in significant fines or penalties under other statutory authorities, such as laws prohibiting false claims for reimbursement. Even if it is determined that we are not in violation of these laws, we may receive negative publicity, incur significant expenses and be forced to devote management time to defending our position.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laws prohibiting off-label promotion, we are also subject to federal and state healthcare fraud and abuse laws and regulations designed to prevent fraud, kickbacks, self-dealing and other abusive practices. The United States healthcare laws and regulations that may affect our ability to operate include, but are not limited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federal Anti-Kickback Statute, which prohibits, among other things,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Medicare and Medicaid. And, although we structure our applicable business arrangements in accordance with the safe harbors, it is difficult to determine exactly how the law will be applied in specific circumstances. Accordingly, it is possible that certain practices of ours may be challenged under the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Anti-Kickback Statute. From a liability perspective, a person or entity does not need to have actual knowledge of the statute or specific intent to violate it in order to have committed a violation;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federal false claims laws, including, without limitation, the False Claims Act, which prohibit any person from knowingly presenting, or causing to be presented, a false claim for payment to the federal government, or knowingly making, or causing to be made, a false statement to get a false claim paid. The federal False Claims Act is unique in that it allows private individuals (whistleblowers) to bring actions on behalf of the federal government via qui tam actions. Importantly, under the False Claims Act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HIPAA, which created federal criminal laws that prohibit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federal “sunshine” laws, including the federal Physician Payment Sunshine Act (or sometimes referred to as the Open Payments™ Program), that require transparency regarding financial arrangements with health care providers, such as the reporting and disclosure requirements imposed by the Patient Protection and Affordable Care Act (“ACA”) on drug manufacturers regarding any “transfer of value” made or distributed to physicians, certain non-physician practitioners, teaching hospitals, and ownership or investment interests held by physicians and their immediate family members;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state law equivalents of each of the above federal laws, such as anti-kickback and false claims laws which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marketing expenditures and pricing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under them, it is possible that some of our business activities, including our relationships with physicians and other healthcare providers (some of whom recommend, purchase and/or prescribe our Products) and the manner in which we promote our Products, could be subject to challenge and scrutiny. We are also exposed to the risk that our employees, independent contractors, principal investigators, consultants, vendors, distributors and contract research organizations (“CROs”) may engage in fraudulent or other illegal activity. Although we have policies and procedures prohibiting such activity, it is not always possible to identify and deter misconduct and the precautions we take may not be effective in controlling unknown risks or in protecting us from governmental investigations or other actions or lawsuits stemming from a failure to comply with applicable laws and regulations.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found in violation of any of the laws described above or any other government regulations, we may be subject to civil and criminal penalties, damages, fines, exclusion from governmental health care programs, a corporate integrity agreement or other agreement to resolve allegations of non-compliance, individual imprisonment, and the curtailment or restructuring of our operations, any of which could adversely affect our financial results and ability to operate.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Research and Development Activities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Vendors perform many of the activities necessary to carry out our clinical trials, including drug product distribution, trial management and oversight and data collection and analysis. Failure of these vendors to perform their duties or meet expected timelines may prevent or delay approval of our product candidates.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clinical investigators and clinical sites enroll patients and CROs manage many of our trials and perform data collection and analysis. Because we currently rely and intend to continue to rely on these third parties, we will have less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If any of our vendors does not perform its duties or meet expected deadlines or fails to adhere to applicable GCPs, or if the quality or accuracy of the data it produces is compromised, affected clinical trials may be extended, delayed or terminated and we may be unable to obtain approval for our product candidates. Outside parties may have staffing difficulties, may undergo changes in priorities or may become financially distressed, adversely affecting their willingness or ability to conduct our clinical trials. Problems with the timeliness or quality of the work of a CRO may lead us to seek to terminate the relationship and use an alternative service provider. However, making this change may be costly and may delay our trials, and it may be challenging to find a replacement organization that can conduct our trials in an acceptable manner and at an acceptable cost.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nor do we have immediate plans to acquire the infrastructure or internal capability to manufacture our clinical drug supplies for use in the conduct of our clinical trials, and we lack the internal resources and the capability to manufacture any of our product candidates on a clinical or commercial scale. The facilities used by our contract manufacturers to manufacture our product candidates must be approved by the FDA pursuant to inspections that will be conducted after we submit our NDA to the FDA.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replacement of our manufacturers could require significant effort and expertise because there may be a limited number of qualified replacements. In some cases, the technology required to manufacture our product candidates may be unique to the original manufacturer and we may have difficulty transferring such skills or technology to another third party. The process of changing manufacturers is extensive and time-consuming and could cause delays or interruptions in our product candidate supply. Further, if we are required to change manufacturers for any reason, we will be required to verify that the new manufacturer maintains facilities and procedures that comply with all applicable regulations and guidelines, including cGMPs, and that the post-change material is comparable to pre-change material. The delays associated with the verification of a new manufacturer could negatively affect our ability to develop product candidates in a timely manner or within budget.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lineRule="auto" w:line="288" w:before="180" w:after="283"/>
        <w:jc w:val="both"/>
        <w:rPr/>
      </w:pPr>
      <w:r>
        <w:rPr>
          <w:rFonts w:ascii="Times New Roman;serif" w:hAnsi="Times New Roman;serif"/>
          <w:b/>
          <w:color w:val="000000"/>
          <w:sz w:val="20"/>
        </w:rPr>
        <w:t>Our efforts to discover, develop and commercialize our product candidates may not succeed. Clinical drug development is lengthy, expensive and often unsuccessful. Results of early studies and trials are often not predictive of later trial results. Failure can occur at any time. Even if we deem that our product candidates</w:t>
      </w:r>
      <w:r>
        <w:rPr>
          <w:color w:val="000000"/>
        </w:rPr>
        <w:t xml:space="preserve">’ </w:t>
      </w:r>
      <w:r>
        <w:rPr>
          <w:rFonts w:ascii="Times New Roman;serif" w:hAnsi="Times New Roman;serif"/>
          <w:b/>
          <w:color w:val="000000"/>
          <w:sz w:val="20"/>
        </w:rPr>
        <w:t>clinical trial results demonstrate safety and efficacy, regulatory authorities may not agree. Failure to obtain or maintain regulatory approvals for our product candidates would prevent us from commercializing them.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Clinical development is costly, time-consuming, unpredictable and depends on numerous factors, including the substantial discretion of the regulatory authorities. In addition, policies, regulations, and the type and amount of clinical data that the regulatory authority views as necessary for approval may change during the course of a product candidate’s clinical development and may vary among jurisdictions. Positive data from clinical trials are susceptible to varying interpretations, which could delay, limit or prevent regulatory approval. The results from nonclinical studies and early clinical trials are often not predictive of results in later clinical trials and top-line or interim results of a clinical trial do not necessarily predict final results, which may differ materially from the earlier results of a particular trial. Product candidates may fail to show the desired safety and efficacy traits despite having produced positive results in preclinical studies and initial clinical trials. Many companies have suffered significant setbacks in late-stage clinical trials due to lack of efficacy or unanticipated or unexpectedly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severe adverse events. Notwithstanding any potential promising results in earlier studies, we cannot be certain that we will not face similar setbacks.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clinical trials may prove inadequate to support marketing approvals. Even trials that generate positive results may have to be confirmed in much larger, more expensive and lengthier trials before we could seek regulatory approval.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Clinical trials may take longer to complete, cost more than expected and fail for many reasons,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failure to show efficacy or acceptable safety, including failure to demonstrate statistical significance;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slow patient enrollment or delayed activation of clinical trial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delays obtaining regulatory permission to start a trial, changes to the size or design of a trial or changes in regulatory requirements for a trial already underway;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inability to secure acceptable terms with vendors and an appropriate number of clinical trial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delays or inability to obtain IRB approval at prospective trial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failure of patients or investigators to comply with the clinical trial protocol or of us or our vendors to comply with other regulatory requirements;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unforeseen safety issues, undesirable side effects, or other unexpected characteristics;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negative findings of inspections of clinical sites or manufacturing operations by us, the FDA or other authorities.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trial may also be suspended or terminated by us, the trial’s data safety monitoring board, the IRBs governing the sites where the trial is being conducted or the FDA for many reasons, including failure by us or our third-party contractors to comply with regulatory requirements or clinical protocols, negative findings in an inspection of our clinical trial operations or trial sites by the FDA or other authorities, unforeseen safety issues, failure to demonstrate a benefit or changes in government regulations.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any time prior to the regulatory approval of a product candidate, we may decide, or the FDA or other regulatory authorities may require us, to conduct more pre-clinical or clinical studies, provide additional analysis of existing data or change the size or design of a trial already underway. Such additional or changed requirements, which regulators may impose in their sole discretion, may delay or prevent the completion of development, submission of an NDA or the completion of regulatory review, which would increase our costs and adversely impact future revenue. Even if we conduct the clinical trials and supportive studies that we consider appropriate and the results are positive, we may not receive regulatory approval and marketing authorization to market our product candidates, which would adversely affect our business, financial condition, results of operations and prospects. Following regulatory approval, there is no assurance of commercial success.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FDA and comparable foreign regulatory authorities may change their policies, issue additional regulations or revise existing regulations, or take other actions, which may prevent or delay approval of our future products under development on a timely basis. There remains substantial uncertainty as to how the current U.S. administration will seek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Such policy or regulatory changes through, for example, executive orders or legislation could impose additional requirements upon us that could delay our ability to obtain approvals, increase the costs of compliance or restrict our ability to maintain any marketing authorizations we may have obtained.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unable to obtain or maintain regulatory approvals for our Products or product candidates, which would prevent us from commercializing our product candidates.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sell a product without the approval of the FDA, EMA or comparable regulatory authority. Obtaining such approval is difficult, uncertain, lengthy and expensive. Failure can occur at any stage. In order to receive FDA approval for a new drug, we must demonstrate to the FDA’s satisfaction that the new drug is safe and effective for its intended use and that our manufacturing processes comply with cGMPs. Recent disruptions at the FDA and other government agencies caused by changing presidential administrations or funding shortages could hinder their ability to hire, retain or deploy key leadership and other personnel, prevent new or modified product candidates from being developed, reviewed, approved or commercialized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timely manner or at all, which could negatively impact our business. In addition, policies, regulations, and the type and amount of clinical data that the regulatory authority views as necessary for approval may change during the course of a product candidate’s clinical development and may vary among jurisdictions. Even if we believe the preclinical or clinical data for our product candidates are promising, such data may not be sufficient to support approval by the FDA or comparable foreign regulatory authorities.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inability or the inability of our vendors to comply with applicable FDA and other regulatory requirements can result in delays in or denials of new product approvals, suspending or withdrawing our existing regulatory approvals, mandatory modifications to labeling or promotional materials, requirements to provide corrective information to healthcare professionals, warning letters, untitled letters, fines, consent decrees restricting or suspending manufacturing operations, injunctions, civil penalties, recall or seizure of products, product detention or refusal to permit import or export of our Products, total or partial suspension of product sales and criminal prosecution. We may seek to commercialize our Products in international markets, which would require us to receive a marketing authorization and, in many cases, pricing approval, from the appropriate regulatory authorities. Approval procedures vary between countries and can require additional pre-clinical or clinical studies. Obtaining approval may take longer than it does in the United States. Although approval by the FDA does not ensure approval by regulatory authorities in other countries, and approval by one foreign regulatory authority does not ensure approval by others, failure or delay in obtaining regulatory approval in one country may have a negative effect on the regulatory process in others. Any of these or other regulatory actions could materially harm our business and financial condition.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submitted an NDA for relacorilant as a treatment for patients with hypercortisolism. On December 30, 2025, the FDA issued a CRL declining to approve relacorilant for the proposed use and stating that additional evidence of effectiveness was required. In April 2026, the FDA asked us to conduct additional analyses of the data included in our NDA. Based on the outcome of those analyses, we resubmitted our NDA to the FDA on June 17, 2026. The FDA has assigned a Prescription Drug User Fee Act target date of December 17, 2026 to complete its review. We have also submitted to the EMA an MAA for relacorilant in combination with nab-paclitaxel as a treatment for patients with platinum-resistant ovarian cancer with a likely regulatory decision date in the fourth quarter of 2026. These applications may be delayed and there is no assurance that they will be approved.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if we eventually complete clinical testing and receive approval or other marketing authorization from the FDA or comparable foreign regulatory authority, the FDA or the comparable foreign regulatory authority may grant approval or other marketing authorization contingent on the performance of costly additional clinical trials, including post-marketing clinical trials. The FDA or the comparable foreign regulatory authority also may approve or authorize for marketing a product candidate for a more limited indication or patient population than we originally propose, and the FDA or comparable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and adversely impact our business and prospects. In addition, if we receive regulatory approval for a product candidate, we will be subject to ongoing requirements and oversight by the FDA and other regulatory authorities, such as continued safety and other reporting requirements and possibly post-approval marketing restrictions and additional costly clinical trials. If we are not able to maintain regulatory compliance, we may be required to stop development of a product candidate or to stop selling a product that has already been approved. We may also be subject to product recalls or seizures. Future governmental action or changes in regulatory authority policy or personnel may also result in delays or rejection of pending or anticipated product approvals.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FDA’s and comparable foreign regulatory authorities’ policies may change and additional government regulations may be enacted that could prevent, limit or delay regulatory approval of our product candidates. For example, the U.S. Supreme Court’s June 2024 decision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The Loper decision also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could adversely affect our business, operating results, prospects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Products and product candidates may cause undesirable side effects that halt their clinical development, prevent their regulatory approval, limit their commercial potential or cause us significant liability.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Patients in clinical trials report changes in their health, including new illnesses, injuries and discomforts, to their study doctor. Often, it is not possible to determine whether or not these conditions were caused by the drug candidate being studied or something else. As we test our product candidates in larger, longer and more extensive clinical trials, or as use of them becomes more widespread if we receive regulatory approval, patients may report serious adverse events that did not occur or went undetected in previous trials. Many times, serious side effects are only detected in large-scale, Phase 3 clinical trials or following commercial approval.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Adverse events reported in clinical trials can slow or stop patient recruitment, prevent enrolled patients from completing a trial and could give rise to liability claims. Regulatory authorities could respond to reported adverse events by interrupting or halting our clinical trials or limiting the scope of, delaying or denying marketing approval. If we elect, or are required by authorities, to delay, suspend or terminate a clinical trial or commercialization efforts, the commercial prospects of the affected product candidates or products may be harmed and our ability to generate product revenues from them may be delayed or eliminated.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one of our product candidates receives marketing approval, and we or others later identify undesirable side effects or adverse events, potentially significant negative consequences could result, including but not limited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discontinue marketing of the product candidate, or decide to remove it from the marketplace;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regulatory authorities may suspend, limit or withdraw approvals of such product;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regulatory authorities may require additional warnings on the label, including “boxed” warnings, or issue safety alerts and other safety information about the product;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required to change the way the product is administered or conduct additional studies or clinical trials;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may need to conduct a recall;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required to create a Risk Evaluation and Mitigation Strategy, which could include a medication guide outlining the risks of such side effects for distribution to patients, a communication plan for healthcare providers and/or other elements to assure safe use;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product may become less competitive;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may not be able to achieve or maintain third-party payor coverage or adequate reimbursement;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may be subject to fines, injunctions or the imposition of criminal penalties;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events could seriously harm our business.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Capital Needs and Financial Results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need additional capital to fund our operations or for strategic reasons. Such capital may not be available on acceptable terms or at all.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dependent on revenue from the sale of our Products and our cash reserves to fund our commercial operations and development programs. If our revenue declines significantly, we may need to curtail our operations or raise funds to support our plans. We may also choose to raise funds for strategic reasons. We cannot be certain funding will be available on acceptable terms or at all. Equity financing would cause dilution; debt financing may involve restrictive covenants. Neither type of financing may be available to us on attractive terms or at all. If we obtain funds through collaborations with other companies, we may have to relinquish rights to one or more of our product candidates. If our revenue declines and our cash reserves are depleted, and if adequate funds are not available from other sources, we may have to delay, reduce the scope of, or eliminate one or more of our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not be able to secure, maintain or effectively assert patent protection for the composition, manufacture, or methods of use of our Products and our proprietary, selective cortisol modulators. Litigation is slow moving, expensive and its outcome is uncertain and subject to challenge on appeal.</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Patents are uncertain, involve complex legal and factual questions and are frequently the subject of litigation. The patents issued or licensed to us may be challenged at any time. Competitors may take actions we believe infringe our intellectual property, causing us to take legal action to defend our rights. Intellectual property litigation is lengthy, expensive and requires significant management attention. Outcomes are uncertain. If we do not protect our intellectual property, competitors may erode our competitive advantage. Please see </w:t>
      </w:r>
      <w:r>
        <w:rPr>
          <w:color w:val="000000"/>
        </w:rPr>
        <w:t>“</w:t>
      </w:r>
      <w:r>
        <w:rPr>
          <w:rFonts w:ascii="Times New Roman;serif" w:hAnsi="Times New Roman;serif"/>
          <w:b w:val="false"/>
          <w:i/>
          <w:color w:val="000000"/>
          <w:sz w:val="20"/>
        </w:rPr>
        <w:t>Part II, Item 1, Legal Proceedings”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patent applications may not result in issued patents and patents issued to us may be challenged, invalidated, held unenforceable or circumvented. Our patents may not prevent third parties from producing competing products. The foreign countries where we may someday operate may not protect our intellectual property to the extent the laws of the United States do. If we fail to obtain adequate patent protection in other countries, others may produce products in those countries based on our technology.</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Stock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The price of our common stock fluctuates widely and is likely to continue to do so. Opportunities for investors to sell shares may be limited.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cannot assure investors that a liquid trading market for our common stock will exist at any particular time. As a result, holders of our common stock may not be able to sell shares quickly or at the current market price. During the 52-week period ended July 22, 2026, our average daily trading volume was approximately 1,347,543 shares and the intra-day sales prices per share of our common stock on the Nasdaq Capital Market ranged from $28.66 to $95.79.</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stock price can experience extreme price and volume fluctuations that are unrelated or disproportionate to our operating performance or prospects. Securities class action lawsuits are often instituted against companies following periods of stock market volatility. Such litigation is costly and diverts management’s attention from productive efforts.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Factors that may cause the price of our common stock to fluctuate rapidly and widely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variations in our operating results or changes to any public guidance we have provided;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timing and results of our clinical trials;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regulatory approvals of our product candidates;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disputes or other developments relating to our intellectual property, including developments in generic-related litigation;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laws or regulations applicable to the pricing, availability of insurance reimbursement, or approved uses of our commercialized products, our product candidates or our competitors’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short-selling of our common stock, the publication of negative opinions about our business or other market manipulation activities that are intended to lower our stock price or increase its volatility;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sales of a substantial number of shares of our stock in the public market, leading to reductions in its price;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estimates or recommendations by securities analysts or the failure of our performance to meet the published expectations of those analysts or public guidance we have provided;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purchases of our common stock pursuant to the Stock Repurchase Program or changes to that program;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general market and economic conditions;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conflicts in the Middle East, the ongoing conflict between Ukraine and Russia, instability in Venezuela and other geopolitical conflicts and the global impact of restrictions and sanctions imposed on Russia and the impact thereof on the markets generally, including any adverse effects on macroeconomic conditions such as inflation;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the expected or actual timing of our competitors’ development programs and the approval of competing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purchases or sales of our common stock by our officers, directors or stockholders;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technological innovations by us, our collaborators or our competitors;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conditions in the pharmaceutical industry, including the market valuations of companies similar to ours;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announcements by us or our competitors of significant acquisitions, strategic partnerships, joint ventures, collaborations or capital commitments;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additional financing activities.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stock price may decline if our financial performance does not meet the guidance we have provided to the public, estimates published by research analysts or other investor expectations.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The guidance we provide as to our expected revenue is only an estimate of what we believe is realizable at the time we give such guidance. Our revenue depends on many factors, including, without limitation, the efficacy of our sales and marketing efforts, the price we receive from private and government payors, competition from alternate treatments for patients with hypercortisolism, including from generic versions of Korlym, competition from alternate treatments for patients with platinum-resistant ovarian cancer and changes in government regulations. Our guidance estimate considers all of these factors, but they are difficult to predict.</w:t>
      </w:r>
      <w:r>
        <w:rPr>
          <w:color w:val="000000"/>
        </w:rPr>
        <w:t xml:space="preserve"> </w:t>
      </w:r>
      <w:r>
        <w:rPr>
          <w:rFonts w:ascii="Times New Roman;serif" w:hAnsi="Times New Roman;serif"/>
          <w:b w:val="false"/>
          <w:color w:val="000000"/>
          <w:sz w:val="20"/>
        </w:rPr>
        <w:t>As a result,</w:t>
      </w:r>
      <w:r>
        <w:rPr>
          <w:color w:val="000000"/>
        </w:rPr>
        <w:t xml:space="preserve"> </w:t>
      </w:r>
      <w:r>
        <w:rPr>
          <w:rFonts w:ascii="Times New Roman;serif" w:hAnsi="Times New Roman;serif"/>
          <w:b w:val="false"/>
          <w:color w:val="000000"/>
          <w:sz w:val="20"/>
        </w:rPr>
        <w:t>our revenue may vary materially from our guidance. Research analysts publish estimates of our future revenue and earnings based on their own analysis. The revenue guidance we provide may be one factor they consider when determining their estimates. If our revenue is materially less than the guidance we or the revenue estimates of the research analysts who cover our stock provide investors, our stock price may decline.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have in the past been, and may in the future be, subject to short selling strategies that may drive down the market price of our common stock and increase its volatility.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Short sellers have attempted, and likely will continue to attempt, to drive down the price of our common stock. Short selling is the practice of selling stock the seller does not own with the intention of buying it back later at a lower price, thereby profiting from any decline in the price of the stock between the time it is sold and the time it is repurchased. To support their efforts, short sellers often publish, or arrange for others to publish, negative opinions regarding the relevant issuer and its business prospects. These publications are often made to appear as if they were objective journalism or unbiased “research reports” of the type distributed by credible Wall Street firms and independent research analysts. Short seller publications are not regulated by any governmental, self-regulatory organization or other authority in the United States and the opinions they express are often based on distortions, omissions or fabrications. Short attacks supported by such publications have, in the past, led to selling of our stock and at least temporary reductions in its price. Companies that are subject to unfavorable allegations, even if untrue, may have to expend a significant amount of resources to investigate such allegations and/or defend themselves, including shareholder suits against the company that may be prompted by such allegations. We have been, and may in the future be, the subject of shareholder suits prompted by allegations made by short sellers.</w:t>
      </w:r>
    </w:p>
    <w:p>
      <w:pPr>
        <w:pStyle w:val="TextBody"/>
        <w:bidi w:val="0"/>
        <w:spacing w:lineRule="auto" w:line="288" w:before="180" w:after="283"/>
        <w:ind w:left="0" w:right="0" w:firstLine="540"/>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Actions by the federal government of the United States have created unprecedented legal, governmental, regulatory and economic uncertainty and risks that may adversely affect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government of the United States has recently significantly reduced funding for scientific research conducted by the federal government and universities, terminated large numbers of employees at government agencies that support health care research and regulation, including the FDA, Centers for Disease Control and National Institutes of Health, and has passed laws that will, over the next several years, significantly reduce the number of people covered by Medicaid. In addition, President Trump has imposed new tariffs on international trade, increased existing tariffs, and abruptly paused or reversed tariffs in ways that will increase our costs and make planning difficult. The government’s actions have caused economic and regulatory uncertainty and have been adverse to our clinical and commercial efforts.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likely the administration will adopt new policies or take new actions that make it more difficult and costly to develop our product candidates. Significant cuts or disruptions to the staffing of government agencies and their budgets may delay review of current and future NDAs and may hamper our ability to advance our other clinical programs. The research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our academic collaborators may be canceled or their funding reduced. These actions may be taken with little or no advance notice.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significant cuts to funding for Medicaid contained in the OBBBA enacted in July 2025 will increase the cost of our financial assistance and charitable donation programs. There may be further reductions in federal healthcare spending that may harm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imposition of tariffs on materials we or our vendors and collaborators use to conduct experiments or to make our Products or product candidates has increased our costs and may increase them further. The United States’ tariff regime and the tariff regime of its trading partners are in constant flux. Although we monitor the situation closely, the tariffs that may affect our business are difficult to predict. It is unlikely that we will be able to anticipate new trade measures or mitigate their impacts, which could be material. Additionally, the laws and regulations governing our operations, as well as the application of those laws and regulations, may change without notice. Failure by us or our vendors to comply with new laws or regulations or to respond in a timely way to abrupt changes in the application of existing laws and regulations could adversely affect our operations, cash flow and financial condition or otherwise harm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disruptions at the FDA may impede its ability to review applications to start clinical trials, complete reviews of new drug applications, and conduct other activities critical to our business in a timely way or at all. For example, over the last several years, the U.S. government has shut down several times and certain regulatory agencies, including the FDA, have furloughed critical employees and stopped critical activities. Although some of the activities upon which our business relies, including the review of new drug applications, are funded independently by user fees, these fees may not be sufficient, and if a prolonged government shutdown occurs again, it could require the FDA to curtail or cease its activities, which could have a material adverse effect on our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a prolonged or future shutdown of the U.S. federal government could materially impact the operations of the SEC. For example, the SEC announced that during the recent U.S. federal government shutdown, it would not declare registration statements effective. In the event of a future extended shutdown, the SEC could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need to increase the size of our organization and may experience difficulties in managing growth.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commercial and research and development efforts are constrained by our limited administrative, operational and management resources. To date, we have relied on a small management team. Growth will impose significant added responsibilities on members of management, including the need to recruit and retain additional employees. Our financial performance and ability to compete will depend on our ability to manage growth effectively. To that end, we must: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continue to add talented, experienced personnel to our endocrine, oncology and emerging markets businesses;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manage our clinical trials, research and manufacturing activities effectively;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hire more general management, clinical development, administrative and sales and marketing personnel;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continue to develop our administrative systems and controls.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accomplish any of these tasks could harm our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lose key personnel or are unable to attract more skilled personnel, we may be unable to pursue our product development and commercialization goals.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operate successfully and manage growth depends upon hiring and retaining skilled managerial, scientific, sales, marketing and financial personnel. The job market for qualified personnel is intensely competitive and turnover rates have reached record highs within our industry and the geographical areas from which we recruit. We depend on the principal members of our management and scientific staff. Any officer or employee may terminate his or her relationship with us at any time and work for a competitor. We do not have employment insurance covering any of our personnel. The loss of key individuals could delay our research, development and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subject to regulations and other legal obligations relating to drug development and commercialization, the conduct of business as an issuer of publicly traded securities and individual privacy and data protection. Compliance with these obligations is complex and costly. Failure to comply could materially harm our business.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laws and regulations, as well as changes to existing laws and regulations, including statutes and regulations concerning taxes and the development, approval, marketing and pricing of medications, the provisions of the ACA requiring the reporting of aggregate spending related to health care professionals, the provisions of the Sarbanes-Oxley Act of 2002, the Dodd-Frank Act of 2010 and rules adopted by the SEC and by The Nasdaq Stock Market LLC have increased and will likely continue to increase our cost of doing business and divert management’s attention from revenue-generating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partners are subject to federal, state and foreign laws and regulations concerning data privacy and security, including HIPAA and the EU General Data Protection Regulation (“GDPR”). These and other regulatory frameworks are evolving rapidly as new rules are enacted and existing ones updated and made more stringent.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including state data breach notification laws, state health information privacy laws,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for Civil Rights issued a proposed rule that would amend certain security compliance requirements for covered entities and business associates.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when HIPAA does not apply, according to the Federal Trade Commission (the “FTC”), violating consumers’ privacy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2024, the FTC also finalized its rulemaking on additional data privacy rules and requirements, which may add additional complexity to compliance obligations going forward.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DOJ issued a rule in 2025 entitled “Access to U.S. Sensitive Personal Data and Government-Related Data by Countries of Concern or Covered Persons,” and known less formally as the “Bulk Transfer Rule.” The Bulk Transfer Rule is codified at 28 CFR part 202 and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and many of which may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Confidentiality of Medical Information Act imposes restrictive requirements regulating the use and disclosure of health information and other personally identifiable information. Further, the California Consumer Privacy Act (the “CCPA”), revised and amended by the California Privacy Rights Act (the “CPRA” and collectively, the “CCPA”), created individual privacy rights for California consumers and increased the privacy and security obligations of entities handling certain personal information as well as limitations on data uses, audit requirements for higher risk data, and opt outs for certain uses of sensitive data. The CCPA provides for civil penalties for violations, as well as a private right of action for data breaches that is expected to increase data breach litigation. The CCPA is enforced by the California Privacy Protection Agency, which is authorized to issue substantive regulations resulting in increased privacy and information security enforcement. The CCPA may increase our compliance costs and potential liability. Several other states have implemented similar comprehensive privacy laws</w:t>
      </w:r>
      <w:r>
        <w:rPr>
          <w:color w:val="000000"/>
        </w:rPr>
        <w:t xml:space="preserve"> </w:t>
      </w:r>
      <w:r>
        <w:rPr>
          <w:rFonts w:ascii="Times New Roman;serif" w:hAnsi="Times New Roman;serif"/>
          <w:b w:val="false"/>
          <w:color w:val="000000"/>
          <w:sz w:val="20"/>
        </w:rPr>
        <w:t xml:space="preserve">that took effect in the past year or will take effect in the near future, and states have implemented or are considering laws that specifically focus on the processing of personal data related to individuals’ health, including Washington’s My Health My Data Act and California’s Confidentiality of Medical Information Act. As a result, additional compliance investment and potential business process changes may be required. In the event that we are subject to or affected by HIPAA, the CCPA or other domestic privacy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data protection laws, any liability from failure to comply with the requirements of these laws could adversely affect our financial condition. Additional legislation proposed at the federal level and in other states, along with increased regulatory action, reflects a trend toward more stringent privacy legislation in the United States.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Outside the United States, many jurisdictions have or are in the process of enacting extensive data privacy regulations. In Europe, the GDPR took effect in 2018, and is imposing stringent data protection requirements for controllers and processors of personal data of individuals within the EEA, particularly with respect to clinical trials. The GDPR provides that EEA member states may make further laws and regulations limiting the processing of health data, which could limit our ability to use and share personal data or could cause our costs to increase and harm our business and financial condition. In addition, the GDPR increases the scrutiny that clinical trial sites located in the EEA should apply to transfers of personal data from such sites to countries that are considered to lack an adequate level of data protection, such as the United States. Legal developments have added complexity and compliance uncertainty regarding certain transfers of information from the EEA to the United States. Following EU court decisions, updated standard contractual clauses (“SCCs”) were adopted to account for these judicial decisions, imposing new requirements on data transfers. The revised SCCs must be used for relevant new data transfers from September 27, 2021, and existing SCC arrangements were required to be retired by December 27, 2022. As supervisory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Further, on July 10, 2023, the European Commission adopted its adequacy decision on the E.U.-U.S. Data Privacy Framework (“DPF”). The decision, which took effect on the day of its adoption, concludes that the United States ensures an adequate level of protection for personal data transferred from the EEA to companies certified to the DPF. It is currently unclear how the future of the DPF will evolve and what impact it will have on our international activities. The GDPR imposes substantial fines for breaches of data protection requirements, which can be up to four percent of global revenue for the preceding financial year or €20 million, whichever is greater, and it also confers a private right of action on data subjects for breaches of data protection requirements. Compliance with European data protection laws is a rigorous and time-intensive process that may increase our cost of doing business, and despite those efforts, there is a risk that we may be subject to fines and penalties, litigation and reputational harm in connection with our European activities. From January 1, 2021, we have had to comply with the GDPR and separately the UK GDPR, which, together with the amended UK Data Protection Act 2018, retains the GDPR in UK national law, each regime having the ability to fine up to the greater of €20 million/£17.5 million or 4 percent of global turnover. It is unclear how UK data protection laws and regulations will develop in the medium to long term and these changes may lead to additional costs and increase our overall risk exposure. In addition, on June 19, 2025, the UK’s Data (Use and Access) Act 2025 (the “DUAA”) was granted Royal Assent, implementing various measures concerning data usage in the UK and reforming data protection laws. The provisions within the DUAA will come into force through 2026, and it is currently unclear how the DUAA will be implemented and what impact it will have on our international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Preparing for and complying with U.S. and foreign privacy and security laws and regulations is complex and costly as it is rigorous and time-intensive and requires significant resources and a review of our technologies, systems and practices, as well as those of any third-party collaborators, service providers, CROs, contractors or consultants that process or transfer personal data collected in the EU. The GDPR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data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rely on information technology to conduct our business. A breakdown or breach of our information technology systems or our failure to protect confidential information concerning our business, patients or employees could interrupt the operation of our business and subject us to liability.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store valuable confidential information relating to our business, patients and employees on our computer networks and on the networks of our vendors. In addition, we rely heavily on internet technology, including video conferencing, teleconferencing and file-sharing services, to conduct business. Despite our security measures, our networks and the networks of our vendors are at risk of break-ins, installation of malware or ransomware, denial-of-service attacks, data theft and other forms of malfeasance by persons seeking to commit fraud or theft, which could result in unauthorized access to, and/or misuse of, our clinical data or other confidential information, including confidential information relating to our patients or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continue to increase our cybersecurity risks, due to our reliance on internet technology and the number of our employees that are working remotely, which may create additional opportunities for cybercriminals to exploit vulnerabilities.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vendors have experienced data breaches, theft, “phishing” attacks and other unauthorized access to confidential data and information. There can be no assurance that our cybersecurity systems and processes will prevent unauthorized access in the future that causes serious harm to us, our patients or employees. We may also experience security breaches that remain undetected for an extended period.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Disruptions or security breaches that result in the disclosure of confidential or proprietary information could cause us to incur liability and delay or otherwise harm our research, development and commercialization efforts. We may be liable for losses suffered by patients or employees or other individuals whose confidential information is stolen as a result of a breach of the security of the systems that we or third parties and our vendors store this information on, and any such liability could be material. Even if we are not liable for such losses, any breach of these systems could expose us to material costs in notifying affected individuals, as well as regulatory fines or penalties. In addition, any breach of these systems could disrupt our normal business operations and expose us to reputational damage and harm our business, operating results and financial condition. Any insurance we maintain against the risk of this type of loss may not be sufficient to cover actual losses or may not apply to the circumstances relating to any particular loss.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federal, state and local tax laws may reduce our net earnings.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Our earnings are subject to federal, state and local taxes. We offset a portion of our earnings using net operating losses and our taxes using research and development tax credits, which reduces the amount of tax we pay. Some jurisdictions require that we pay taxes or fees calculated as a percentage of sales, payroll expense, or other indicia of our activities. Please see “</w:t>
      </w:r>
      <w:r>
        <w:rPr>
          <w:rFonts w:ascii="Times New Roman;serif" w:hAnsi="Times New Roman;serif"/>
          <w:b w:val="false"/>
          <w:i/>
          <w:color w:val="000000"/>
          <w:sz w:val="20"/>
        </w:rPr>
        <w:t>Part I, Item 1, Notes to Condensed Consolidated Financial Statements – Income Taxes</w:t>
      </w:r>
      <w:r>
        <w:rPr>
          <w:rFonts w:ascii="Times New Roman;serif" w:hAnsi="Times New Roman;serif"/>
          <w:b w:val="false"/>
          <w:color w:val="000000"/>
          <w:sz w:val="20"/>
        </w:rPr>
        <w:t>.” Changes to existing tax laws could materially increase the amounts we pay, which would reduce our after-tax net income.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Research analysts may not continue to provide or initiate coverage of our common stock or may issue negative reports.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our common stock may be affected by the reports financial analysts publish about us. If any of the analysts covering us downgrades or discontinues coverage of our stock, the price of our common stock could decline rapidly and significantly. Paucity of research coverage may also adversely affect our stock price.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Any acquisition of Corcept shares through our Stock Repurchase Program or, in certain cases, pursuant to the exercise of stock options, will reduce our cash reserves.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our Board of Directors authorized the repurchase of up to $200 million of our common stock pursuant to the Stock Repurchase Program. In addition, we sometimes accept, in our sole discretion, shares equal in value to any tax and exercise price liability due from option holders at the time of exercise and remit the applicable tax amounts to the tax authorities. Neither our Stock Repurchase Program nor the acceptance of shares at the time of options exercise requires us to acquire shares. Furthermore, the Stock Repurchase Program may be modified, suspended or discontinued at any time without notice. It is possible that other uses of our capital would have been more advantageous or that our future capital requirements would increase unexpectedly. By reducing our cash balance, our repurchases of common stock could hamper our ability to execute our plans, meet financial obligations or access financing.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Anti-takeover provisions in our charter and bylaws and under Delaware law may make an acquisition of us or a change in our management more expensive or difficult, even if an acquisition or a management change would be beneficial to our stockholders.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Provisions in our charter and bylaws may delay or prevent an acquisition of us or a change in our management. Some of these provisions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our Board of Directors appoints. In addition, because we are incorporated in Delaware, we are governed by the provisions of Section 203 of the Delaware General Corporation Law. Section 203 may prohibit large stockholders, in particular those owning 15 percent or more of our outstanding voting stock, from merging or combining with us. These provisions in our charter and bylaws and under Delaware law could reduce the price that investors would be willing to pay for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officers, directors and principal stockholders, acting as a group, could significantly influence corporate actions.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22, 2026, our officers and directors beneficially owned approximately 20 percent of our common stock. Acting together, these stockholders could significantly influence any matter requiring approval by our stockholders, including the election of directors and the approval of mergers or other business combinations. The interests of this group may not always coincide with our interests or the interests of other stockholders and may prevent or delay a change in control. This significant concentration of share ownership may adversely affect the trading price of our common stock because many investors perceive disadvantages to owning stock in companies with controlling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2024, our Board of Directors approved a program authorizing the repurchase of up to $200 million of our common stock. Purchases under this program may be made in the open market, in privately negotiated transactions or otherwise. The timing and amount of any repurchases will be determined based on market conditions, our stock price and other factors. The program does not require us to repurchase any specific number of shares and may be modified, suspended or discontinued at any time without notice. As of June 30, 2026, $11.4 million of the current authorization remained available for the repurchase of shares of our common stock.</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relating to the purchase of shares of our common stock in the three months ended June 30, 2026 as part of the cashless net exercises of stock options and vesting of restricted stock (in thousands, except average price per share):</w: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782"/>
        <w:gridCol w:w="688"/>
        <w:gridCol w:w="691"/>
        <w:gridCol w:w="109"/>
        <w:gridCol w:w="109"/>
        <w:gridCol w:w="109"/>
        <w:gridCol w:w="896"/>
        <w:gridCol w:w="896"/>
        <w:gridCol w:w="898"/>
        <w:gridCol w:w="109"/>
        <w:gridCol w:w="109"/>
        <w:gridCol w:w="109"/>
        <w:gridCol w:w="427"/>
        <w:gridCol w:w="1247"/>
        <w:gridCol w:w="220"/>
        <w:gridCol w:w="109"/>
        <w:gridCol w:w="109"/>
        <w:gridCol w:w="109"/>
        <w:gridCol w:w="480"/>
        <w:gridCol w:w="1643"/>
        <w:gridCol w:w="356"/>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Purchase Price of Shares</w:t>
            </w:r>
            <w:r>
              <w:rPr>
                <w:rFonts w:ascii="Times New Roman;serif" w:hAnsi="Times New Roman;serif"/>
                <w:b/>
                <w:color w:val="000000"/>
                <w:sz w:val="13"/>
              </w:rPr>
              <w:t>(2)</w:t>
            </w:r>
          </w:p>
        </w:tc>
      </w:tr>
      <w:tr>
        <w:trPr/>
        <w:tc>
          <w:tcPr>
            <w:tcW w:w="2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(1) In April 2026, we issued 62 shares of common stock as part of a net-share settlement of a cashless option exercise, of which 54 shares were surrendered to us in satisfaction of related exercise cost and tax obligations. In May 2026, we issued 119,501 shares of common stock as part of a net-share settlement of a cashless option exercise, of which 71,513 shares were surrendered to us. In June 2026, we issued 345,303 shares of common stock as part of a net-share settlement of a cashless option exercise, of which 162,832 shares were surrendered to us.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In April 2026, we issued 28,711 shares of common stock as part of restricted stock vesting, of which 11,098 shares were surrendered to us in satisfaction of related tax obligations. In May 2026, we issued 132,878 shares of common stock as part of restricted stock vesting, of which 48,906 shares were surrendered to us. In June 2026, we issued 72,122 shares of common stock as part of restricted stock vesting, of which 26,218 shares were surrendered to us.</w:t>
      </w:r>
    </w:p>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(2) We paid $11.5 million to satisfy the tax withholding obligations associated with the net-share settlement of these cashless option exercises and vesting of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and officers (as defined in Rule 16a-1(f) under the Exchange Act) adopted or terminated any contract, instruction or written plan for the purchase or sale of our securities that is intended to satisfy the affirmative defense conditions of Rule 10b5-1(c) of the Securities Exchange Act of 1934, as amended, or any “non-Rule 10b5-1 trading arrangement,” as defined in Item 408(a) of Regulation S-K, other than as set forth in the table below.</w:t>
      </w:r>
    </w:p>
    <w:tbl>
      <w:tblPr>
        <w:tblW w:w="10205" w:type="dxa"/>
        <w:jc w:val="left"/>
        <w:tblInd w:w="0" w:type="dxa"/>
        <w:tblLayout w:type="fixed"/>
        <w:tblCellMar>
          <w:top w:w="28" w:type="dxa"/>
          <w:left w:w="28" w:type="dxa"/>
          <w:bottom w:w="28" w:type="dxa"/>
          <w:right w:w="28" w:type="dxa"/>
        </w:tblCellMar>
      </w:tblPr>
      <w:tblGrid>
        <w:gridCol w:w="493"/>
        <w:gridCol w:w="433"/>
        <w:gridCol w:w="437"/>
        <w:gridCol w:w="109"/>
        <w:gridCol w:w="109"/>
        <w:gridCol w:w="109"/>
        <w:gridCol w:w="688"/>
        <w:gridCol w:w="688"/>
        <w:gridCol w:w="695"/>
        <w:gridCol w:w="109"/>
        <w:gridCol w:w="109"/>
        <w:gridCol w:w="109"/>
        <w:gridCol w:w="294"/>
        <w:gridCol w:w="294"/>
        <w:gridCol w:w="298"/>
        <w:gridCol w:w="109"/>
        <w:gridCol w:w="109"/>
        <w:gridCol w:w="109"/>
        <w:gridCol w:w="348"/>
        <w:gridCol w:w="348"/>
        <w:gridCol w:w="349"/>
        <w:gridCol w:w="109"/>
        <w:gridCol w:w="109"/>
        <w:gridCol w:w="109"/>
        <w:gridCol w:w="631"/>
        <w:gridCol w:w="631"/>
        <w:gridCol w:w="633"/>
        <w:gridCol w:w="109"/>
        <w:gridCol w:w="109"/>
        <w:gridCol w:w="109"/>
        <w:gridCol w:w="381"/>
        <w:gridCol w:w="381"/>
        <w:gridCol w:w="548"/>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Expiration Date</w:t>
            </w:r>
            <w:r>
              <w:rPr>
                <w:rFonts w:ascii="Times New Roman;serif" w:hAnsi="Times New Roman;serif"/>
                <w:b/>
                <w:color w:val="000000"/>
                <w:sz w:val="13"/>
              </w:rPr>
              <w:t>(1)</w:t>
            </w:r>
          </w:p>
        </w:tc>
      </w:tr>
      <w:tr>
        <w:trPr/>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L. Mahoney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103,606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11/11/2027</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D. Lyon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&amp; Technology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8/31/2027</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K. Belanoff,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8/31/2027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Each trading arrangement permits transactions through and including the earlier to occur of (a) the completion of all sales or (b) the date listed in the table.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36"/>
        <w:gridCol w:w="2571"/>
        <w:gridCol w:w="366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(incorporated by reference to Exhibit 3.1 to the registrant’s Current Report on Form 8-K filed on May 24,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(incorporated by reference to Exhibit 3.1 to the registrant’s Current Report on Form 8-K filed on December 11,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"https://www.sec.gov/ix?doc=/Archives/edgar/data/0001088856/000162828026025735/cort-20260417.htm" \l "ib2254349db214897b295e9370c5c7783_776"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Corcept Therapeutics Incorporated 2024 Incentive Award Plan (as Amended) (incorporated by reference to Appendix A to the registrant's Definitive Proxy Statement on Schedule 14A filed on April 17, 2026).</w:t>
            </w:r>
            <w:r>
              <w:rPr>
                <w:rStyle w:val="InternetLink"/>
                <w:sz w:val="20"/>
                <w:u w:val="single"/>
                <w:b w:val="false"/>
                <w:rFonts w:ascii="Times New Roman;serif" w:hAnsi="Times New Roman;serif"/>
                <w:color w:val="0000FF"/>
              </w:rPr>
              <w:fldChar w:fldCharType="end"/>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t63026ex311.htm">
              <w:r>
                <w:rPr>
                  <w:rStyle w:val="InternetLink"/>
                  <w:rFonts w:ascii="Times New Roman;serif" w:hAnsi="Times New Roman;serif"/>
                  <w:b w:val="false"/>
                  <w:color w:val="0000FF"/>
                  <w:sz w:val="20"/>
                  <w:u w:val="single"/>
                </w:rPr>
                <w:t>Rule 13a-14(a)/15d-14(a) Certifications of Joseph K. Belanoff, M.D., Chief Executive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t63026ex312.htm">
              <w:r>
                <w:rPr>
                  <w:rStyle w:val="InternetLink"/>
                  <w:rFonts w:ascii="Times New Roman;serif" w:hAnsi="Times New Roman;serif"/>
                  <w:b w:val="false"/>
                  <w:color w:val="0000FF"/>
                  <w:sz w:val="20"/>
                  <w:u w:val="single"/>
                </w:rPr>
                <w:t>Rule 13a-14(a)/15d-14(a) Certifications of Atabak Mokari, Chief Financial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t63026ex321.htm">
              <w:r>
                <w:rPr>
                  <w:rStyle w:val="InternetLink"/>
                  <w:rFonts w:ascii="Times New Roman;serif" w:hAnsi="Times New Roman;serif"/>
                  <w:b w:val="false"/>
                  <w:color w:val="0000FF"/>
                  <w:sz w:val="20"/>
                  <w:u w:val="single"/>
                </w:rPr>
                <w:t>18 U.S.C. Section 1350 Certifications of Joseph K. Belanoff, M.D., Chief Executive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t63026ex322.htm">
              <w:r>
                <w:rPr>
                  <w:rStyle w:val="InternetLink"/>
                  <w:rFonts w:ascii="Times New Roman;serif" w:hAnsi="Times New Roman;serif"/>
                  <w:b w:val="false"/>
                  <w:color w:val="0000FF"/>
                  <w:sz w:val="20"/>
                  <w:u w:val="single"/>
                </w:rPr>
                <w:t>18 U.S.C. Section 1350 Certifications of Atabak Mokari, Chief Financial Officer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quarter ended June 30, 2026, formatted in Extensible Business Reporting Language (XBRL): (i) Unaudited Condensed Consolidated Balance Sheets at June 30, 2026 and December 31, 2025, (ii) Unaudited Condensed Consolidated Statements of Income for the three and six month periods ended June 30, 2026 and 2025, (iii) Unaudited Condensed Consolidated Statements of Comprehensive Income for the three and six month periods ended June 30, 2026 and 2025, (iv) Unaudited Condensed Consolidated Statements of Cash Flows for the six month periods ended June 30, 2026 and 2025, (v) Unaudited Condensed Consolidated Statements of Stockholders’ Equity and (vi) Notes to Unaudited Condensed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tbl>
      <w:tblPr>
        <w:tblW w:w="6251" w:type="dxa"/>
        <w:jc w:val="left"/>
        <w:tblInd w:w="0" w:type="dxa"/>
        <w:tblLayout w:type="fixed"/>
        <w:tblCellMar>
          <w:top w:w="28" w:type="dxa"/>
          <w:left w:w="28" w:type="dxa"/>
          <w:bottom w:w="28" w:type="dxa"/>
          <w:right w:w="28" w:type="dxa"/>
        </w:tblCellMar>
      </w:tblPr>
      <w:tblGrid>
        <w:gridCol w:w="124"/>
        <w:gridCol w:w="109"/>
        <w:gridCol w:w="109"/>
        <w:gridCol w:w="1730"/>
        <w:gridCol w:w="1730"/>
        <w:gridCol w:w="24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9"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48"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181"/>
        <w:gridCol w:w="1181"/>
        <w:gridCol w:w="167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CORCEPT THERAPEUTICS INCORPORATED</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K. Belanoff</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Joseph K. Belanoff, M.D.</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/s/Atabak Mokari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Atabak Mokari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/s/Joseph D. Lyon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Joseph D. Lyon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Accounting &amp; Technology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K. Belanoff, M.D.,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Corcept Therapeutics Incorporated;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224" w:type="dxa"/>
        <w:jc w:val="left"/>
        <w:tblInd w:w="0" w:type="dxa"/>
        <w:tblLayout w:type="fixed"/>
        <w:tblCellMar>
          <w:top w:w="28" w:type="dxa"/>
          <w:left w:w="28" w:type="dxa"/>
          <w:bottom w:w="28" w:type="dxa"/>
          <w:right w:w="28" w:type="dxa"/>
        </w:tblCellMar>
      </w:tblPr>
      <w:tblGrid>
        <w:gridCol w:w="1034"/>
        <w:gridCol w:w="905"/>
        <w:gridCol w:w="1285"/>
      </w:tblGrid>
      <w:tr>
        <w:trPr/>
        <w:tc>
          <w:tcPr>
            <w:tcW w:w="10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K. Belanoff</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K. Belanoff, M.D.</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Atabak Mokari,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Corcept Therapeutics Incorporated;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29" w:type="dxa"/>
        <w:jc w:val="left"/>
        <w:tblInd w:w="0" w:type="dxa"/>
        <w:tblLayout w:type="fixed"/>
        <w:tblCellMar>
          <w:top w:w="28" w:type="dxa"/>
          <w:left w:w="28" w:type="dxa"/>
          <w:bottom w:w="28" w:type="dxa"/>
          <w:right w:w="28" w:type="dxa"/>
        </w:tblCellMar>
      </w:tblPr>
      <w:tblGrid>
        <w:gridCol w:w="777"/>
        <w:gridCol w:w="681"/>
        <w:gridCol w:w="971"/>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2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Atabak Mokari</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Corcept Therapeutics Incorporated (the “Company”) on Form 10-Q for the period ended June 30, 2026, as filed with the Securities and Exchange Commission on the date hereof (the “Report”), I, Joseph K. Belanoff, M.D., Chief Executive Officer of the Company,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4" w:type="dxa"/>
        <w:jc w:val="left"/>
        <w:tblInd w:w="0" w:type="dxa"/>
        <w:tblLayout w:type="fixed"/>
        <w:tblCellMar>
          <w:top w:w="28" w:type="dxa"/>
          <w:left w:w="28" w:type="dxa"/>
          <w:bottom w:w="28" w:type="dxa"/>
          <w:right w:w="28" w:type="dxa"/>
        </w:tblCellMar>
      </w:tblPr>
      <w:tblGrid>
        <w:gridCol w:w="1034"/>
        <w:gridCol w:w="905"/>
        <w:gridCol w:w="1285"/>
      </w:tblGrid>
      <w:tr>
        <w:trPr/>
        <w:tc>
          <w:tcPr>
            <w:tcW w:w="103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K. Belanoff</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K. Belanoff, M.D.</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Corcept Therapeutics Incorporated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Corcept Therapeutics Incorporated (the “Company”) on Form 10-Q for the period ended June 30, 2026, as filed with the Securities and Exchange Commission on the date hereof (the “Report”), I, Atabak Mokari, Chief Financial Officer of the Company,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29" w:type="dxa"/>
        <w:jc w:val="left"/>
        <w:tblInd w:w="0" w:type="dxa"/>
        <w:tblLayout w:type="fixed"/>
        <w:tblCellMar>
          <w:top w:w="28" w:type="dxa"/>
          <w:left w:w="28" w:type="dxa"/>
          <w:bottom w:w="28" w:type="dxa"/>
          <w:right w:w="28" w:type="dxa"/>
        </w:tblCellMar>
      </w:tblPr>
      <w:tblGrid>
        <w:gridCol w:w="777"/>
        <w:gridCol w:w="681"/>
        <w:gridCol w:w="971"/>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2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Atabak Mokari</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8856/000162828023019588/a31restatedcertificateofin.htm" TargetMode="External"/><Relationship Id="rId3" Type="http://schemas.openxmlformats.org/officeDocument/2006/relationships/hyperlink" Target="https://www.sec.gov/Archives/edgar/data/1088856/000119312523292621/d833600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30152</Words>
  <Characters>170746</Characters>
  <CharactersWithSpaces>199964</CharactersWithSpaces>
  <Paragraphs>1850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