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Lyon Joseph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60"/>
        <w:spacing w:after="0" w:line="294" w:lineRule="auto"/>
        <w:rPr>
          <w:sz w:val="20"/>
          <w:szCs w:val="20"/>
          <w:color w:val="auto"/>
        </w:rPr>
      </w:pPr>
      <w:r>
        <w:rPr>
          <w:rFonts w:ascii="Times New Roman" w:cs="Times New Roman" w:eastAsia="Times New Roman" w:hAnsi="Times New Roman"/>
          <w:sz w:val="17"/>
          <w:szCs w:val="17"/>
          <w:color w:val="0000FF"/>
        </w:rPr>
        <w:t>C/O CORCEPT THERAPEUTICS INCORPORATED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REDWOOD SHORES PARKWAY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tcPr>
          <w:p>
            <w:pPr>
              <w:jc w:val="right"/>
              <w:ind w:right="5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0000FF"/>
              </w:rPr>
              <w:t>REDWOOD</w:t>
            </w: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1100" w:type="dxa"/>
            <w:vAlign w:val="bottom"/>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CITY</w:t>
            </w:r>
          </w:p>
        </w:tc>
        <w:tc>
          <w:tcPr>
            <w:tcW w:w="9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CORCEPT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CORT</w:t>
            </w:r>
          </w:p>
        </w:tc>
        <w:tc>
          <w:tcPr>
            <w:tcW w:w="21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tcPr>
          <w:p>
            <w:pPr>
              <w:ind w:left="6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14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7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33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7"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537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70.44</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6,767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537</w:t>
            </w:r>
            <w:r>
              <w:rPr>
                <w:rFonts w:ascii="Times New Roman" w:cs="Times New Roman" w:eastAsia="Times New Roman" w:hAnsi="Times New Roman"/>
                <w:sz w:val="22"/>
                <w:szCs w:val="22"/>
                <w:color w:val="008000"/>
                <w:w w:val="93"/>
                <w:vertAlign w:val="superscript"/>
              </w:rPr>
              <w:t>(4)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7,304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(5)</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70.44</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7,035</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purchased shares ("Purchase Plan Shares") of the Issuer's common stock pursuant to a purchase plan ("Purchase Plan") established under the Corcept Therapeutics Incorporated 2024 Incentive Award Plan on June 1,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Purchase Plan, the price was established based on the closing price on the day of the purchase.</w:t>
      </w:r>
    </w:p>
    <w:p>
      <w:pPr>
        <w:spacing w:after="0" w:line="50" w:lineRule="exact"/>
        <w:rPr>
          <w:rFonts w:ascii="Times New Roman" w:cs="Times New Roman" w:eastAsia="Times New Roman" w:hAnsi="Times New Roman"/>
          <w:sz w:val="13"/>
          <w:szCs w:val="13"/>
          <w:color w:val="008000"/>
        </w:rPr>
      </w:pPr>
    </w:p>
    <w:p>
      <w:pPr>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749 shares underlying unvested restricted stock awards granted to the Reporting Person by the Issuer on June 2, 2025, 200 shares underlying unvested restricted stock awards granted to the Reporting Person by the Issuer on September 2, 2025, 178 shares underlying unvested restricted stock awards granted to the Reporting Person by the Issuer on December 1, 2025 and 398 shares underlying unvested restricted stock awards granted to the Reporting Person by the Issuer on March 2, 2026. 100% of the shares underlying the restricted stock awards will vest on the one-year anniversary of the grant date provided the Reporting Person satisfies certain requirements.</w:t>
      </w:r>
    </w:p>
    <w:p>
      <w:pPr>
        <w:spacing w:after="0" w:line="24"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underlie unvested restricted stock awards granted to the Reporting Person by the Issuer under the Purchase Plan. 100% of the shares underlying the restricted stock awards will vest on the one-year anniversary of the grant date provided the Reporting Person remains the beneficial owner of the Purchase Plan Shares through such one-year anniversary.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in order to satisfy certain tax withholding obligations in connection with the issuance of shares upon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closing price on June 1, 2026 was used to calculate the withholding obligation.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200 shares underlying unvested restricted stock awards granted to the Reporting Person by the Issuer on September 2, 2025, 178 shares underlying unvested restricted stock awards granted to the Reporting Person by the Issuer on December 1, 2025 and 398 shares underlying unvested restricted stock awards granted to the Reporting Person by the Issuer on March 2, 2026. 100% of the shares underlying the restricted stock awards will vest on the one-year anniversary of the grant date provided the Reporting Person satisfies certain requirements.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Accounting &amp; Technology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Joseph Douglas Lyon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7838" TargetMode="External"/><Relationship Id="rId14" Type="http://schemas.openxmlformats.org/officeDocument/2006/relationships/hyperlink" Target="http://www.sec.gov/cgi-bin/browse-edgar?action=getcompany&amp;CIK=0001088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2026-06-03T18:33:49Z</dcterms:created>
  <dcterms:modified xsi:type="dcterms:W3CDTF">2026-06-03T18:33:49Z</dcterms:modified>
</cp:coreProperties>
</file>