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742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742555"/>
                    </a:xfrm>
                    <a:prstGeom prst="rect">
                      <a:avLst/>
                    </a:prstGeom>
                    <a:noFill/>
                  </pic:spPr>
                </pic:pic>
              </a:graphicData>
            </a:graphic>
          </wp:anchor>
        </w:drawing>
      </w:r>
    </w:p>
    <w:p>
      <w:pPr>
        <w:spacing w:after="0" w:line="1285" w:lineRule="exact"/>
        <w:rPr>
          <w:sz w:val="24"/>
          <w:szCs w:val="24"/>
          <w:color w:val="auto"/>
        </w:rPr>
      </w:pPr>
    </w:p>
    <w:p>
      <w:pPr>
        <w:sectPr>
          <w:pgSz w:w="11900" w:h="16906"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Robb Gary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60"/>
        <w:spacing w:after="0" w:line="294" w:lineRule="auto"/>
        <w:rPr>
          <w:sz w:val="20"/>
          <w:szCs w:val="20"/>
          <w:color w:val="auto"/>
        </w:rPr>
      </w:pPr>
      <w:r>
        <w:rPr>
          <w:rFonts w:ascii="Times New Roman" w:cs="Times New Roman" w:eastAsia="Times New Roman" w:hAnsi="Times New Roman"/>
          <w:sz w:val="17"/>
          <w:szCs w:val="17"/>
          <w:color w:val="0000FF"/>
        </w:rPr>
        <w:t>C/O CORCEPT THERAPEUTICS INCORPORATED</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REDWOOD SHORES PARKWAY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tcPr>
          <w:p>
            <w:pPr>
              <w:jc w:val="right"/>
              <w:ind w:right="5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0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0000FF"/>
              </w:rPr>
              <w:t>REDWOOD</w:t>
            </w:r>
          </w:p>
        </w:tc>
        <w:tc>
          <w:tcPr>
            <w:tcW w:w="9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20"/>
        </w:trPr>
        <w:tc>
          <w:tcPr>
            <w:tcW w:w="1100" w:type="dxa"/>
            <w:vAlign w:val="bottom"/>
            <w:vMerge w:val="restart"/>
          </w:tcPr>
          <w:p>
            <w:pPr>
              <w:jc w:val="right"/>
              <w:ind w:right="560"/>
              <w:spacing w:after="0"/>
              <w:rPr>
                <w:sz w:val="20"/>
                <w:szCs w:val="20"/>
                <w:color w:val="auto"/>
              </w:rPr>
            </w:pPr>
            <w:r>
              <w:rPr>
                <w:rFonts w:ascii="Times New Roman" w:cs="Times New Roman" w:eastAsia="Times New Roman" w:hAnsi="Times New Roman"/>
                <w:sz w:val="17"/>
                <w:szCs w:val="17"/>
                <w:color w:val="0000FF"/>
              </w:rPr>
              <w:t>CITY</w:t>
            </w:r>
          </w:p>
        </w:tc>
        <w:tc>
          <w:tcPr>
            <w:tcW w:w="9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CORCEPT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CORT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3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33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Chief Business Officer</w:t>
            </w:r>
          </w:p>
        </w:tc>
        <w:tc>
          <w:tcPr>
            <w:tcW w:w="0" w:type="dxa"/>
            <w:vAlign w:val="bottom"/>
          </w:tcPr>
          <w:p>
            <w:pPr>
              <w:spacing w:after="0"/>
              <w:rPr>
                <w:sz w:val="1"/>
                <w:szCs w:val="1"/>
                <w:color w:val="auto"/>
              </w:rPr>
            </w:pPr>
          </w:p>
        </w:tc>
      </w:tr>
      <w:tr>
        <w:trPr>
          <w:trHeight w:val="9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7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33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906" w:orient="portrait"/>
          <w:cols w:equalWidth="0" w:num="2">
            <w:col w:w="3120" w:space="720"/>
            <w:col w:w="7160"/>
          </w:cols>
          <w:pgMar w:left="460" w:top="219" w:right="439" w:bottom="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4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776</w:t>
            </w:r>
            <w:r>
              <w:rPr>
                <w:rFonts w:ascii="Times New Roman" w:cs="Times New Roman" w:eastAsia="Times New Roman" w:hAnsi="Times New Roman"/>
                <w:sz w:val="22"/>
                <w:szCs w:val="22"/>
                <w:color w:val="008000"/>
                <w:w w:val="89"/>
                <w:vertAlign w:val="superscript"/>
              </w:rPr>
              <w:t>(1)</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70.44</w:t>
            </w:r>
            <w:r>
              <w:rPr>
                <w:rFonts w:ascii="Times New Roman" w:cs="Times New Roman" w:eastAsia="Times New Roman" w:hAnsi="Times New Roman"/>
                <w:sz w:val="22"/>
                <w:szCs w:val="22"/>
                <w:color w:val="008000"/>
                <w:w w:val="92"/>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25,263</w:t>
            </w:r>
            <w:r>
              <w:rPr>
                <w:rFonts w:ascii="Times New Roman" w:cs="Times New Roman" w:eastAsia="Times New Roman" w:hAnsi="Times New Roman"/>
                <w:sz w:val="22"/>
                <w:szCs w:val="22"/>
                <w:color w:val="008000"/>
                <w:w w:val="97"/>
                <w:vertAlign w:val="superscript"/>
              </w:rPr>
              <w:t>(3)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776</w:t>
            </w:r>
            <w:r>
              <w:rPr>
                <w:rFonts w:ascii="Times New Roman" w:cs="Times New Roman" w:eastAsia="Times New Roman" w:hAnsi="Times New Roman"/>
                <w:sz w:val="22"/>
                <w:szCs w:val="22"/>
                <w:color w:val="008000"/>
                <w:w w:val="89"/>
                <w:vertAlign w:val="superscript"/>
              </w:rPr>
              <w:t>(4)</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26,039</w:t>
            </w:r>
            <w:r>
              <w:rPr>
                <w:rFonts w:ascii="Times New Roman" w:cs="Times New Roman" w:eastAsia="Times New Roman" w:hAnsi="Times New Roman"/>
                <w:sz w:val="22"/>
                <w:szCs w:val="22"/>
                <w:color w:val="008000"/>
                <w:w w:val="97"/>
                <w:vertAlign w:val="superscript"/>
              </w:rPr>
              <w:t>(3)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06/02/2026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(5)</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358</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70.44</w:t>
            </w:r>
            <w:r>
              <w:rPr>
                <w:rFonts w:ascii="Times New Roman" w:cs="Times New Roman" w:eastAsia="Times New Roman" w:hAnsi="Times New Roman"/>
                <w:sz w:val="22"/>
                <w:szCs w:val="22"/>
                <w:color w:val="008000"/>
                <w:w w:val="92"/>
                <w:vertAlign w:val="superscript"/>
              </w:rPr>
              <w:t>(6)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25,681</w:t>
            </w:r>
            <w:r>
              <w:rPr>
                <w:rFonts w:ascii="Times New Roman" w:cs="Times New Roman" w:eastAsia="Times New Roman" w:hAnsi="Times New Roman"/>
                <w:sz w:val="22"/>
                <w:szCs w:val="22"/>
                <w:color w:val="008000"/>
                <w:w w:val="97"/>
                <w:vertAlign w:val="superscript"/>
              </w:rPr>
              <w:t>(7)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Custodial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12,571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Account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Child</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Custodial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12,571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Account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Child</w:t>
            </w:r>
            <w:r>
              <w:rPr>
                <w:rFonts w:ascii="Times New Roman" w:cs="Times New Roman" w:eastAsia="Times New Roman" w:hAnsi="Times New Roman"/>
                <w:sz w:val="22"/>
                <w:szCs w:val="22"/>
                <w:color w:val="008000"/>
                <w:vertAlign w:val="superscript"/>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Gary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Charles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Robb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49,716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Robb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(10)</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purchased shares ("Purchase Plan Shares") of the Issuer's common stock pursuant to a purchase plan ("Purchase Plan") established under the Corcept Therapeutics Incorporated 2024 Incentive Award Plan on June 1,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Purchase Plan, the price was established based on the closing price on the day of the purchase.</w:t>
      </w:r>
    </w:p>
    <w:p>
      <w:pPr>
        <w:spacing w:after="0" w:line="50" w:lineRule="exact"/>
        <w:rPr>
          <w:rFonts w:ascii="Times New Roman" w:cs="Times New Roman" w:eastAsia="Times New Roman" w:hAnsi="Times New Roman"/>
          <w:sz w:val="13"/>
          <w:szCs w:val="13"/>
          <w:color w:val="008000"/>
        </w:rPr>
      </w:pPr>
    </w:p>
    <w:p>
      <w:pPr>
        <w:ind w:left="40" w:right="3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997 shares underlying unvested restricted stock awards granted to the Reporting Person by the Issuer on June 2, 2025, 251 shares underlying unvested restricted stock awards granted to the Reporting Person by the Issuer on September 2, 2025, 224 shares underlying unvested restricted stock awards granted to the Reporting Person by the Issuer on December 1, 2025, and 499 shares underlying unvested restricted stock awards granted to the Reporting Person by the Issuer on March 2, 2026. 100% of the shares underlying the restricted stock awards will vest on the one-year anniversary of the grant date provided the Reporting Person satisfies certain requirements.</w:t>
      </w:r>
    </w:p>
    <w:p>
      <w:pPr>
        <w:sectPr>
          <w:pgSz w:w="11900" w:h="16906" w:orient="portrait"/>
          <w:cols w:equalWidth="0" w:num="1">
            <w:col w:w="11000"/>
          </w:cols>
          <w:pgMar w:left="460" w:top="219" w:right="439" w:bottom="0" w:gutter="0" w:footer="0" w:header="0"/>
          <w:type w:val="continuous"/>
        </w:sectPr>
      </w:pPr>
    </w:p>
    <w:bookmarkStart w:id="1" w:name="page2"/>
    <w:bookmarkEnd w:id="1"/>
    <w:p>
      <w:pPr>
        <w:ind w:right="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underlie unvested restricted stock awards granted to the Reporting Person by the Issuer under the Purchase Plan. 100% of the shares underlying the restricted stock awards will vest on the one-year anniversary of the grant date provided the Reporting Person remains the beneficial owner of the Purchase Plan Shares through such one-year anniversary.</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in order to satisfy certain tax withholding obligations in connection with the issuance of shares upon the vesting of restricted stock units.</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closing price on June 1, 2026 was used to calculate the withholding obligation.</w:t>
      </w:r>
    </w:p>
    <w:p>
      <w:pPr>
        <w:spacing w:after="0" w:line="5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251 shares underlying unvested restricted stock awards granted to the Reporting Person by the Issuer on September 2, 2025, 224 shares underlying unvested restricted stock awards granted to the Reporting Person by the Issuer on December 1, 2025, and 499 shares underlying unvested restricted stock awards granted to the Reporting Person by the Issuer on March 2, 2026. 100% of the shares underlying the restricted stock awards will vest on the one-year anniversary of the grant date provided the Reporting Person satisfies certain requirements.</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 child of the Reporting Person through a custodial account under the Uniform Transfers to Minors Act for which the Reporting Person is custodian.</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 child of the Reporting Person through a custodial account under the Uniform Transfers to Minors Act for which the Reporting Person is custodian.</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Gary Charles Robb TTE Robb Revocable Trust of which the Reporting Person is trustee.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The power of attorney under which this form was signed is on file with the Commission.</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Joseph Douglas Lyon,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4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Gary</w:t>
      </w:r>
      <w:r>
        <w:rPr>
          <w:sz w:val="20"/>
          <w:szCs w:val="20"/>
          <w:color w:val="auto"/>
        </w:rPr>
        <w:tab/>
      </w: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Charles Robb.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29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2928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53"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29655" TargetMode="External"/><Relationship Id="rId14" Type="http://schemas.openxmlformats.org/officeDocument/2006/relationships/hyperlink" Target="http://www.sec.gov/cgi-bin/browse-edgar?action=getcompany&amp;CIK=0001088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2026-06-03T18:16:51Z</dcterms:created>
  <dcterms:modified xsi:type="dcterms:W3CDTF">2026-06-03T18:16:51Z</dcterms:modified>
</cp:coreProperties>
</file>